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9E3045" w:rsidRPr="009E3045" w:rsidTr="009E3045">
        <w:trPr>
          <w:tblCellSpacing w:w="0" w:type="dxa"/>
        </w:trPr>
        <w:tc>
          <w:tcPr>
            <w:tcW w:w="0" w:type="auto"/>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9E3045" w:rsidRPr="009E3045">
              <w:trPr>
                <w:tblCellSpacing w:w="0" w:type="dxa"/>
                <w:jc w:val="center"/>
              </w:trPr>
              <w:tc>
                <w:tcPr>
                  <w:tcW w:w="0" w:type="auto"/>
                  <w:tcMar>
                    <w:top w:w="150" w:type="dxa"/>
                    <w:left w:w="150" w:type="dxa"/>
                    <w:bottom w:w="150" w:type="dxa"/>
                    <w:right w:w="150" w:type="dxa"/>
                  </w:tcMar>
                  <w:vAlign w:val="center"/>
                  <w:hideMark/>
                </w:tcPr>
                <w:p w:rsidR="009E3045" w:rsidRPr="009E3045" w:rsidRDefault="009E3045" w:rsidP="009E3045">
                  <w:pPr>
                    <w:spacing w:after="120" w:line="240" w:lineRule="auto"/>
                    <w:ind w:left="120"/>
                    <w:jc w:val="both"/>
                    <w:rPr>
                      <w:rFonts w:ascii="Times New Roman" w:eastAsia="Times New Roman" w:hAnsi="Times New Roman" w:cs="Times New Roman"/>
                      <w:b/>
                      <w:bCs/>
                      <w:color w:val="2F2F2F"/>
                      <w:sz w:val="18"/>
                      <w:szCs w:val="18"/>
                      <w:lang w:eastAsia="es-MX"/>
                    </w:rPr>
                  </w:pPr>
                  <w:r w:rsidRPr="009E3045">
                    <w:rPr>
                      <w:rFonts w:ascii="Times New Roman" w:eastAsia="Times New Roman" w:hAnsi="Times New Roman" w:cs="Times New Roman"/>
                      <w:b/>
                      <w:bCs/>
                      <w:color w:val="2F2F2F"/>
                      <w:sz w:val="18"/>
                      <w:szCs w:val="18"/>
                      <w:lang w:eastAsia="es-MX"/>
                    </w:rPr>
                    <w:t>ACUERDO por el que se da a conocer el cupo para internar a Colombia mantequilla (manteca) originaria de los Estados Unidos Mexicanos, al amparo del arancel-cuota establecido en el Tratado de Libre Comercio entre los Estados Unidos Mexicanos y la República de Colombia.</w:t>
                  </w:r>
                </w:p>
                <w:p w:rsidR="009E3045" w:rsidRPr="009E3045" w:rsidRDefault="009E3045" w:rsidP="009E3045">
                  <w:pPr>
                    <w:spacing w:after="120" w:line="240" w:lineRule="auto"/>
                    <w:ind w:left="120"/>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eastAsia="es-MX"/>
                    </w:rPr>
                    <w:t>Al margen un sello con el Escudo Nacional, que dice: Estados Unidos Mexicanos.- Secretaría de Economía.</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9E3045" w:rsidRPr="009E3045" w:rsidRDefault="009E3045" w:rsidP="009E3045">
                  <w:pPr>
                    <w:spacing w:after="120" w:line="240" w:lineRule="auto"/>
                    <w:ind w:left="120"/>
                    <w:jc w:val="center"/>
                    <w:rPr>
                      <w:rFonts w:ascii="Times New Roman" w:eastAsia="Times New Roman" w:hAnsi="Times New Roman" w:cs="Times New Roman"/>
                      <w:b/>
                      <w:bCs/>
                      <w:color w:val="2F2F2F"/>
                      <w:sz w:val="18"/>
                      <w:szCs w:val="18"/>
                      <w:lang w:eastAsia="es-MX"/>
                    </w:rPr>
                  </w:pPr>
                  <w:r w:rsidRPr="009E3045">
                    <w:rPr>
                      <w:rFonts w:ascii="Times New Roman" w:eastAsia="Times New Roman" w:hAnsi="Times New Roman" w:cs="Times New Roman"/>
                      <w:b/>
                      <w:bCs/>
                      <w:color w:val="2F2F2F"/>
                      <w:sz w:val="18"/>
                      <w:szCs w:val="18"/>
                      <w:lang w:val="es-ES_tradnl" w:eastAsia="es-MX"/>
                    </w:rPr>
                    <w:t>CONSIDERANDO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Que es necesario propiciar esquemas de promoción accesibles a las empresas exportadoras de productos originarios e incrementar la utilización de los cupos establecidos en el Tratado, y</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Que el procedimiento de asignación de cupo al amparo de lo establecido en el Tratado y su Protocolo, cuenta con opinión favorable de la Comisión de Comercio Exterior, se expide el siguiente:</w:t>
                  </w:r>
                </w:p>
                <w:p w:rsidR="009E3045" w:rsidRPr="009E3045" w:rsidRDefault="009E3045" w:rsidP="009E3045">
                  <w:pPr>
                    <w:spacing w:after="120" w:line="240" w:lineRule="auto"/>
                    <w:ind w:left="120"/>
                    <w:jc w:val="center"/>
                    <w:rPr>
                      <w:rFonts w:ascii="Times New Roman" w:eastAsia="Times New Roman" w:hAnsi="Times New Roman" w:cs="Times New Roman"/>
                      <w:b/>
                      <w:bCs/>
                      <w:color w:val="2F2F2F"/>
                      <w:sz w:val="18"/>
                      <w:szCs w:val="18"/>
                      <w:lang w:eastAsia="es-MX"/>
                    </w:rPr>
                  </w:pPr>
                  <w:r w:rsidRPr="009E3045">
                    <w:rPr>
                      <w:rFonts w:ascii="Times New Roman" w:eastAsia="Times New Roman" w:hAnsi="Times New Roman" w:cs="Times New Roman"/>
                      <w:b/>
                      <w:bCs/>
                      <w:color w:val="2F2F2F"/>
                      <w:sz w:val="18"/>
                      <w:szCs w:val="18"/>
                      <w:lang w:val="es-ES_tradnl" w:eastAsia="es-MX"/>
                    </w:rPr>
                    <w:t>Acuerdo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Primero.- </w:t>
                  </w:r>
                  <w:r w:rsidRPr="009E3045">
                    <w:rPr>
                      <w:rFonts w:ascii="Arial" w:eastAsia="Times New Roman" w:hAnsi="Arial" w:cs="Arial"/>
                      <w:color w:val="2F2F2F"/>
                      <w:sz w:val="18"/>
                      <w:szCs w:val="18"/>
                      <w:lang w:val="es-ES" w:eastAsia="es-MX"/>
                    </w:rPr>
                    <w:t>Se establece el cupo para mantequilla (manteca) originaria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(Tratado), conforme a lo señalado en el cuadro siguiente:</w:t>
                  </w:r>
                </w:p>
                <w:tbl>
                  <w:tblPr>
                    <w:tblW w:w="8715" w:type="dxa"/>
                    <w:jc w:val="center"/>
                    <w:tblCellSpacing w:w="0" w:type="dxa"/>
                    <w:tblCellMar>
                      <w:left w:w="0" w:type="dxa"/>
                      <w:right w:w="0" w:type="dxa"/>
                    </w:tblCellMar>
                    <w:tblLook w:val="04A0" w:firstRow="1" w:lastRow="0" w:firstColumn="1" w:lastColumn="0" w:noHBand="0" w:noVBand="1"/>
                  </w:tblPr>
                  <w:tblGrid>
                    <w:gridCol w:w="4095"/>
                    <w:gridCol w:w="2370"/>
                    <w:gridCol w:w="2250"/>
                  </w:tblGrid>
                  <w:tr w:rsidR="009E3045" w:rsidRPr="009E3045" w:rsidTr="009E3045">
                    <w:trPr>
                      <w:tblCellSpacing w:w="0" w:type="dxa"/>
                      <w:jc w:val="center"/>
                    </w:trPr>
                    <w:tc>
                      <w:tcPr>
                        <w:tcW w:w="4095" w:type="dxa"/>
                        <w:noWrap/>
                        <w:vAlign w:val="center"/>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Fracción colombiana / Descripción</w:t>
                        </w:r>
                      </w:p>
                    </w:tc>
                    <w:tc>
                      <w:tcPr>
                        <w:tcW w:w="2370" w:type="dxa"/>
                        <w:vAlign w:val="center"/>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2 agosto - 1 agosto</w:t>
                        </w:r>
                      </w:p>
                    </w:tc>
                    <w:tc>
                      <w:tcPr>
                        <w:tcW w:w="2250" w:type="dxa"/>
                        <w:vAlign w:val="center"/>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Monto toneladas métricas</w:t>
                        </w:r>
                      </w:p>
                    </w:tc>
                  </w:tr>
                  <w:tr w:rsidR="009E3045" w:rsidRPr="009E3045" w:rsidTr="009E3045">
                    <w:trPr>
                      <w:tblCellSpacing w:w="0" w:type="dxa"/>
                      <w:jc w:val="center"/>
                    </w:trPr>
                    <w:tc>
                      <w:tcPr>
                        <w:tcW w:w="4095" w:type="dxa"/>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0405.10.00.00     Mantequilla (manteca).</w:t>
                        </w:r>
                      </w:p>
                    </w:tc>
                    <w:tc>
                      <w:tcPr>
                        <w:tcW w:w="2370" w:type="dxa"/>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2011-2012</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2012-2013</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2013-2014</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2014-2015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2015-2016</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2016-2017</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2017-2018</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2018-2019</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2019-2020</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2020 en adelante</w:t>
                        </w:r>
                      </w:p>
                    </w:tc>
                    <w:tc>
                      <w:tcPr>
                        <w:tcW w:w="2250" w:type="dxa"/>
                        <w:hideMark/>
                      </w:tcPr>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495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545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599</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659</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725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797</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877</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965</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1,061</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1,167</w:t>
                        </w:r>
                      </w:p>
                    </w:tc>
                  </w:tr>
                </w:tbl>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Segundo.-</w:t>
                  </w:r>
                  <w:r w:rsidRPr="009E3045">
                    <w:rPr>
                      <w:rFonts w:ascii="Arial" w:eastAsia="Times New Roman" w:hAnsi="Arial" w:cs="Arial"/>
                      <w:color w:val="2F2F2F"/>
                      <w:sz w:val="18"/>
                      <w:szCs w:val="18"/>
                      <w:lang w:val="es-ES" w:eastAsia="es-MX"/>
                    </w:rPr>
                    <w:t xml:space="preserve"> La Secretaría de Economía asignará el cupo para la exportación de las mercancías especificadas en el cuadro del Punto Primero del presente Acuerdo mediante el mecanismo de </w:t>
                  </w:r>
                  <w:r w:rsidRPr="009E3045">
                    <w:rPr>
                      <w:rFonts w:ascii="Arial" w:eastAsia="Times New Roman" w:hAnsi="Arial" w:cs="Arial"/>
                      <w:color w:val="2F2F2F"/>
                      <w:sz w:val="18"/>
                      <w:szCs w:val="18"/>
                      <w:lang w:val="es-ES" w:eastAsia="es-MX"/>
                    </w:rPr>
                    <w:lastRenderedPageBreak/>
                    <w:t>asignación directa, bajo la modalidad de “Primero en tiempo, primero en derecho”.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Tercero.-</w:t>
                  </w:r>
                  <w:r w:rsidRPr="009E3045">
                    <w:rPr>
                      <w:rFonts w:ascii="Arial" w:eastAsia="Times New Roman" w:hAnsi="Arial" w:cs="Arial"/>
                      <w:color w:val="2F2F2F"/>
                      <w:sz w:val="18"/>
                      <w:szCs w:val="18"/>
                      <w:lang w:val="es-ES" w:eastAsia="es-MX"/>
                    </w:rPr>
                    <w:t> Las personas físicas o morales establecidas en los Estados Unidos Mexicanos podrán solicitar la asignación del cupo descrito en el Punto Primero del presente Acuerdo. La Secretaría de Economía asignará el monto del cupo disponible hasta agotarlo.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Cuarto.-</w:t>
                  </w:r>
                  <w:r w:rsidRPr="009E3045">
                    <w:rPr>
                      <w:rFonts w:ascii="Arial" w:eastAsia="Times New Roman" w:hAnsi="Arial" w:cs="Arial"/>
                      <w:color w:val="2F2F2F"/>
                      <w:sz w:val="18"/>
                      <w:szCs w:val="18"/>
                      <w:lang w:val="es-ES" w:eastAsia="es-MX"/>
                    </w:rPr>
                    <w:t> Para obtener una asignación de cupo, todos los interesados deberán presentar, ante la ventanilla de atención al público de la representación federal de la Secretaría de Economía que corresponda, la solicitud de asignación en el formato SE-03-011-1 “Solicitud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Quinto.-</w:t>
                  </w:r>
                  <w:r w:rsidRPr="009E3045">
                    <w:rPr>
                      <w:rFonts w:ascii="Arial" w:eastAsia="Times New Roman" w:hAnsi="Arial" w:cs="Arial"/>
                      <w:color w:val="2F2F2F"/>
                      <w:sz w:val="18"/>
                      <w:szCs w:val="18"/>
                      <w:lang w:val="es-ES"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o carta de porte o guía aérea según sea el caso.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La representación federal de la Secretaría de Economía expedirá el certificado de cupo dentro de los 7 días hábiles siguientes a la fecha de presentación de dichas solicitudes. El monto a expedir será el que resulte menor entre:</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(i) el 20% del cupo anual;</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(ii) el monto que señale la factura comercial y el conocimiento de embarque o carta de porte o guía aérea, según sea el caso, 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(iii) el saldo del cupo.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La vigencia de los certificados de cupo a que se refiere este Acuerdo será al 1 de agosto siguiente a la fecha de su expedición.</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Sexto.- </w:t>
                  </w:r>
                  <w:r w:rsidRPr="009E3045">
                    <w:rPr>
                      <w:rFonts w:ascii="Arial" w:eastAsia="Times New Roman" w:hAnsi="Arial" w:cs="Arial"/>
                      <w:color w:val="2F2F2F"/>
                      <w:sz w:val="18"/>
                      <w:szCs w:val="18"/>
                      <w:lang w:val="es-ES"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Formato SE-03-011-1 “Solicitud de asignación de cupo”.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Para personas físicas:</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hyperlink r:id="rId5" w:history="1">
                    <w:r w:rsidRPr="009E3045">
                      <w:rPr>
                        <w:rFonts w:ascii="Arial" w:eastAsia="Times New Roman" w:hAnsi="Arial" w:cs="Arial"/>
                        <w:spacing w:val="-2"/>
                        <w:sz w:val="18"/>
                        <w:szCs w:val="18"/>
                        <w:lang w:val="es-ES" w:eastAsia="es-MX"/>
                      </w:rPr>
                      <w:t>http://www.cofemer.gob.mx/rfts/formulario/tramite.asp?coNodes=1513114&amp;num_modalidad=1&amp;epe=0&amp;nv=0</w:t>
                    </w:r>
                  </w:hyperlink>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Para personas morales:</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hyperlink r:id="rId6" w:history="1">
                    <w:r w:rsidRPr="009E3045">
                      <w:rPr>
                        <w:rFonts w:ascii="Arial" w:eastAsia="Times New Roman" w:hAnsi="Arial" w:cs="Arial"/>
                        <w:spacing w:val="-2"/>
                        <w:sz w:val="18"/>
                        <w:szCs w:val="18"/>
                        <w:lang w:val="es-ES" w:eastAsia="es-MX"/>
                      </w:rPr>
                      <w:t>http://www.cofemer.gob.mx/rfts/formulario/tramite.asp?coNodes=1513114&amp;num_modalidad=2&amp;epe=0&amp;nv=0</w:t>
                    </w:r>
                  </w:hyperlink>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Formato SE-03-013-5 “Solicitud de certificados de cupo (obtenido por asignación directa)” en la modalidad de “primero en tiempo, primero en derecho”.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hyperlink r:id="rId7" w:history="1">
                    <w:r w:rsidRPr="009E3045">
                      <w:rPr>
                        <w:rFonts w:ascii="Arial" w:eastAsia="Times New Roman" w:hAnsi="Arial" w:cs="Arial"/>
                        <w:spacing w:val="-2"/>
                        <w:sz w:val="18"/>
                        <w:szCs w:val="18"/>
                        <w:lang w:val="es-ES" w:eastAsia="es-MX"/>
                      </w:rPr>
                      <w:t>http://www.cofemer.gob.mx/rfts/formulario/tramite.asp?coNodes=1513116&amp;num_modalidad=2&amp;epe=0&amp;nv=0</w:t>
                    </w:r>
                  </w:hyperlink>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hyperlink r:id="rId8" w:history="1">
                    <w:r w:rsidRPr="009E3045">
                      <w:rPr>
                        <w:rFonts w:ascii="Arial" w:eastAsia="Times New Roman" w:hAnsi="Arial" w:cs="Arial"/>
                        <w:spacing w:val="-2"/>
                        <w:sz w:val="18"/>
                        <w:szCs w:val="18"/>
                        <w:lang w:val="es-ES" w:eastAsia="es-MX"/>
                      </w:rPr>
                      <w:t>http://www.cofemer.gob.mx/rfts/formulario/tramite.asp?coNodes=1513116&amp;num_modalidad=3&amp;epe=0&amp;nv=0</w:t>
                    </w:r>
                  </w:hyperlink>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Los formatos antes citados corresponden a los siguientes trámites inscritos en el Registro Federal de Trámites y Servicios (RFTS):</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a)</w:t>
                  </w:r>
                  <w:r w:rsidRPr="009E3045">
                    <w:rPr>
                      <w:rFonts w:ascii="Arial" w:eastAsia="Times New Roman" w:hAnsi="Arial" w:cs="Arial"/>
                      <w:b/>
                      <w:bCs/>
                      <w:color w:val="2F2F2F"/>
                      <w:sz w:val="18"/>
                      <w:szCs w:val="18"/>
                      <w:lang w:val="es-ES" w:eastAsia="es-MX"/>
                    </w:rPr>
                    <w:t> “Asignación directa de cupo de importación y exportación”,</w:t>
                  </w:r>
                  <w:r w:rsidRPr="009E3045">
                    <w:rPr>
                      <w:rFonts w:ascii="Arial" w:eastAsia="Times New Roman" w:hAnsi="Arial" w:cs="Arial"/>
                      <w:color w:val="2F2F2F"/>
                      <w:sz w:val="18"/>
                      <w:szCs w:val="18"/>
                      <w:lang w:val="es-ES" w:eastAsia="es-MX"/>
                    </w:rPr>
                    <w:t> para personas físicas con homoclave en el RFTS SE-03-033-A;</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lastRenderedPageBreak/>
                    <w:t>b)</w:t>
                  </w:r>
                  <w:r w:rsidRPr="009E3045">
                    <w:rPr>
                      <w:rFonts w:ascii="Arial" w:eastAsia="Times New Roman" w:hAnsi="Arial" w:cs="Arial"/>
                      <w:b/>
                      <w:bCs/>
                      <w:color w:val="2F2F2F"/>
                      <w:sz w:val="18"/>
                      <w:szCs w:val="18"/>
                      <w:lang w:val="es-ES" w:eastAsia="es-MX"/>
                    </w:rPr>
                    <w:t> “Asignación directa de cupo de importación y exportación”</w:t>
                  </w:r>
                  <w:r w:rsidRPr="009E3045">
                    <w:rPr>
                      <w:rFonts w:ascii="Arial" w:eastAsia="Times New Roman" w:hAnsi="Arial" w:cs="Arial"/>
                      <w:color w:val="2F2F2F"/>
                      <w:sz w:val="18"/>
                      <w:szCs w:val="18"/>
                      <w:lang w:val="es-ES" w:eastAsia="es-MX"/>
                    </w:rPr>
                    <w:t>, para personas morales con homoclave en el RFTS SE-03-033-B;</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c)</w:t>
                  </w:r>
                  <w:r w:rsidRPr="009E3045">
                    <w:rPr>
                      <w:rFonts w:ascii="Arial" w:eastAsia="Times New Roman" w:hAnsi="Arial" w:cs="Arial"/>
                      <w:b/>
                      <w:bCs/>
                      <w:color w:val="2F2F2F"/>
                      <w:sz w:val="18"/>
                      <w:szCs w:val="18"/>
                      <w:lang w:val="es-ES" w:eastAsia="es-MX"/>
                    </w:rPr>
                    <w:t> “Expedición de certificado de cupo obtenido por asignación directa”,</w:t>
                  </w:r>
                  <w:r w:rsidRPr="009E3045">
                    <w:rPr>
                      <w:rFonts w:ascii="Arial" w:eastAsia="Times New Roman" w:hAnsi="Arial" w:cs="Arial"/>
                      <w:color w:val="2F2F2F"/>
                      <w:sz w:val="18"/>
                      <w:szCs w:val="18"/>
                      <w:lang w:val="es-ES" w:eastAsia="es-MX"/>
                    </w:rPr>
                    <w:t> en la modalidad de “primero en tiempo, primero en derecho” para personas físicas o morales con homoclave en el RFTS SE-03-042-B, y</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d) </w:t>
                  </w:r>
                  <w:r w:rsidRPr="009E3045">
                    <w:rPr>
                      <w:rFonts w:ascii="Arial" w:eastAsia="Times New Roman" w:hAnsi="Arial" w:cs="Arial"/>
                      <w:b/>
                      <w:bCs/>
                      <w:color w:val="2F2F2F"/>
                      <w:sz w:val="18"/>
                      <w:szCs w:val="18"/>
                      <w:lang w:val="es-ES" w:eastAsia="es-MX"/>
                    </w:rPr>
                    <w:t>“Expedición de certificado de cupo obtenido por asignación directa”</w:t>
                  </w:r>
                  <w:r w:rsidRPr="009E3045">
                    <w:rPr>
                      <w:rFonts w:ascii="Arial" w:eastAsia="Times New Roman" w:hAnsi="Arial" w:cs="Arial"/>
                      <w:color w:val="2F2F2F"/>
                      <w:sz w:val="18"/>
                      <w:szCs w:val="18"/>
                      <w:lang w:val="es-ES" w:eastAsia="es-MX"/>
                    </w:rPr>
                    <w:t>, en la modalidad de “primero en tiempo, primero en derecho” para personas físicas o morales con homoclave en el RFTS SE-03-042-C.</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Séptimo.- </w:t>
                  </w:r>
                  <w:r w:rsidRPr="009E3045">
                    <w:rPr>
                      <w:rFonts w:ascii="Arial" w:eastAsia="Times New Roman" w:hAnsi="Arial" w:cs="Arial"/>
                      <w:color w:val="2F2F2F"/>
                      <w:sz w:val="18"/>
                      <w:szCs w:val="18"/>
                      <w:lang w:val="es-ES" w:eastAsia="es-MX"/>
                    </w:rPr>
                    <w:t>Para la aplicación general de los criterios que se mencionan en el presente Acuerdo, la Dirección General de Comercio Exterior podrá solicitar la opinión de la Dirección General de Industrias Básicas de la Secretaría de Economía.</w:t>
                  </w:r>
                </w:p>
                <w:p w:rsidR="009E3045" w:rsidRPr="009E3045" w:rsidRDefault="009E3045" w:rsidP="009E3045">
                  <w:pPr>
                    <w:spacing w:after="120" w:line="240" w:lineRule="auto"/>
                    <w:ind w:left="120"/>
                    <w:jc w:val="center"/>
                    <w:rPr>
                      <w:rFonts w:ascii="Times New Roman" w:eastAsia="Times New Roman" w:hAnsi="Times New Roman" w:cs="Times New Roman"/>
                      <w:b/>
                      <w:bCs/>
                      <w:color w:val="2F2F2F"/>
                      <w:sz w:val="18"/>
                      <w:szCs w:val="18"/>
                      <w:lang w:eastAsia="es-MX"/>
                    </w:rPr>
                  </w:pPr>
                  <w:r w:rsidRPr="009E3045">
                    <w:rPr>
                      <w:rFonts w:ascii="Times New Roman" w:eastAsia="Times New Roman" w:hAnsi="Times New Roman" w:cs="Times New Roman"/>
                      <w:b/>
                      <w:bCs/>
                      <w:color w:val="2F2F2F"/>
                      <w:sz w:val="18"/>
                      <w:szCs w:val="18"/>
                      <w:lang w:val="es-ES_tradnl" w:eastAsia="es-MX"/>
                    </w:rPr>
                    <w:t>TRANSITORIO</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b/>
                      <w:bCs/>
                      <w:color w:val="2F2F2F"/>
                      <w:sz w:val="18"/>
                      <w:szCs w:val="18"/>
                      <w:lang w:val="es-ES" w:eastAsia="es-MX"/>
                    </w:rPr>
                    <w:t>UNICO.-</w:t>
                  </w:r>
                  <w:r w:rsidRPr="009E3045">
                    <w:rPr>
                      <w:rFonts w:ascii="Arial" w:eastAsia="Times New Roman" w:hAnsi="Arial" w:cs="Arial"/>
                      <w:color w:val="2F2F2F"/>
                      <w:sz w:val="18"/>
                      <w:szCs w:val="18"/>
                      <w:lang w:val="es-ES" w:eastAsia="es-MX"/>
                    </w:rPr>
                    <w:t> El presente Acuerdo entrará en vigor el 2 de agosto de 2011.</w:t>
                  </w:r>
                </w:p>
                <w:p w:rsidR="009E3045" w:rsidRPr="009E3045" w:rsidRDefault="009E3045" w:rsidP="009E3045">
                  <w:pPr>
                    <w:spacing w:after="120" w:line="240" w:lineRule="auto"/>
                    <w:ind w:left="120" w:firstLine="288"/>
                    <w:jc w:val="both"/>
                    <w:rPr>
                      <w:rFonts w:ascii="Arial" w:eastAsia="Times New Roman" w:hAnsi="Arial" w:cs="Arial"/>
                      <w:color w:val="2F2F2F"/>
                      <w:sz w:val="18"/>
                      <w:szCs w:val="18"/>
                      <w:lang w:eastAsia="es-MX"/>
                    </w:rPr>
                  </w:pPr>
                  <w:r w:rsidRPr="009E3045">
                    <w:rPr>
                      <w:rFonts w:ascii="Arial" w:eastAsia="Times New Roman" w:hAnsi="Arial" w:cs="Arial"/>
                      <w:color w:val="2F2F2F"/>
                      <w:sz w:val="18"/>
                      <w:szCs w:val="18"/>
                      <w:lang w:val="es-ES" w:eastAsia="es-MX"/>
                    </w:rPr>
                    <w:t>México, D.F., a 19 de julio de 2011.- El Secretario de Economía, </w:t>
                  </w:r>
                  <w:r w:rsidRPr="009E3045">
                    <w:rPr>
                      <w:rFonts w:ascii="Arial" w:eastAsia="Times New Roman" w:hAnsi="Arial" w:cs="Arial"/>
                      <w:b/>
                      <w:bCs/>
                      <w:color w:val="2F2F2F"/>
                      <w:sz w:val="18"/>
                      <w:szCs w:val="18"/>
                      <w:lang w:val="es-ES" w:eastAsia="es-MX"/>
                    </w:rPr>
                    <w:t>Bruno Ferrari García de Alba</w:t>
                  </w:r>
                  <w:r w:rsidRPr="009E3045">
                    <w:rPr>
                      <w:rFonts w:ascii="Arial" w:eastAsia="Times New Roman" w:hAnsi="Arial" w:cs="Arial"/>
                      <w:color w:val="2F2F2F"/>
                      <w:sz w:val="18"/>
                      <w:szCs w:val="18"/>
                      <w:lang w:val="es-ES" w:eastAsia="es-MX"/>
                    </w:rPr>
                    <w:t>.- Rúbrica.</w:t>
                  </w:r>
                </w:p>
              </w:tc>
            </w:tr>
          </w:tbl>
          <w:p w:rsidR="009E3045" w:rsidRPr="009E3045" w:rsidRDefault="009E3045" w:rsidP="009E3045">
            <w:pPr>
              <w:spacing w:after="0" w:line="240" w:lineRule="auto"/>
              <w:rPr>
                <w:rFonts w:ascii="Arial" w:eastAsia="Times New Roman" w:hAnsi="Arial" w:cs="Arial"/>
                <w:color w:val="2F2F2F"/>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9E3045" w:rsidRPr="009E3045">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E3045" w:rsidRPr="009E3045" w:rsidRDefault="009E3045" w:rsidP="009E3045">
                  <w:pPr>
                    <w:spacing w:after="0" w:line="240" w:lineRule="auto"/>
                    <w:rPr>
                      <w:rFonts w:ascii="Times New Roman" w:eastAsia="Times New Roman" w:hAnsi="Times New Roman" w:cs="Times New Roman"/>
                      <w:sz w:val="17"/>
                      <w:szCs w:val="17"/>
                      <w:lang w:eastAsia="es-MX"/>
                    </w:rPr>
                  </w:pPr>
                  <w:r w:rsidRPr="009E3045">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9E3045" w:rsidRPr="009E3045" w:rsidRDefault="009E3045" w:rsidP="009E3045">
            <w:pPr>
              <w:spacing w:after="0" w:line="240" w:lineRule="auto"/>
              <w:rPr>
                <w:rFonts w:ascii="Arial" w:eastAsia="Times New Roman" w:hAnsi="Arial" w:cs="Arial"/>
                <w:color w:val="2F2F2F"/>
                <w:lang w:eastAsia="es-MX"/>
              </w:rPr>
            </w:pPr>
          </w:p>
        </w:tc>
      </w:tr>
      <w:tr w:rsidR="009E3045" w:rsidRPr="009E3045" w:rsidTr="009E3045">
        <w:trPr>
          <w:tblCellSpacing w:w="0" w:type="dxa"/>
        </w:trPr>
        <w:tc>
          <w:tcPr>
            <w:tcW w:w="0" w:type="auto"/>
            <w:shd w:val="clear" w:color="auto" w:fill="FFFFFF"/>
            <w:vAlign w:val="center"/>
            <w:hideMark/>
          </w:tcPr>
          <w:p w:rsidR="009E3045" w:rsidRPr="009E3045" w:rsidRDefault="009E3045" w:rsidP="009E3045">
            <w:pPr>
              <w:spacing w:after="0" w:line="240" w:lineRule="auto"/>
              <w:rPr>
                <w:rFonts w:ascii="Arial" w:eastAsia="Times New Roman" w:hAnsi="Arial" w:cs="Arial"/>
                <w:color w:val="2F2F2F"/>
                <w:lang w:eastAsia="es-MX"/>
              </w:rPr>
            </w:pPr>
            <w:r w:rsidRPr="009E3045">
              <w:rPr>
                <w:rFonts w:ascii="Arial" w:eastAsia="Times New Roman" w:hAnsi="Arial" w:cs="Arial"/>
                <w:color w:val="2F2F2F"/>
                <w:lang w:eastAsia="es-MX"/>
              </w:rPr>
              <w:lastRenderedPageBreak/>
              <w:t> </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45"/>
    <w:rsid w:val="0084618E"/>
    <w:rsid w:val="009E3045"/>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1">
    <w:name w:val="titulo2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1">
    <w:name w:val="texto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1">
    <w:name w:val="anotacion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E3045"/>
  </w:style>
  <w:style w:type="character" w:styleId="Hipervnculo">
    <w:name w:val="Hyperlink"/>
    <w:basedOn w:val="Fuentedeprrafopredeter"/>
    <w:uiPriority w:val="99"/>
    <w:semiHidden/>
    <w:unhideWhenUsed/>
    <w:rsid w:val="009E3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1">
    <w:name w:val="titulo2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1">
    <w:name w:val="texto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1">
    <w:name w:val="anotacion1"/>
    <w:basedOn w:val="Normal"/>
    <w:rsid w:val="009E30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E3045"/>
  </w:style>
  <w:style w:type="character" w:styleId="Hipervnculo">
    <w:name w:val="Hyperlink"/>
    <w:basedOn w:val="Fuentedeprrafopredeter"/>
    <w:uiPriority w:val="99"/>
    <w:semiHidden/>
    <w:unhideWhenUsed/>
    <w:rsid w:val="009E3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1270">
      <w:bodyDiv w:val="1"/>
      <w:marLeft w:val="0"/>
      <w:marRight w:val="0"/>
      <w:marTop w:val="0"/>
      <w:marBottom w:val="0"/>
      <w:divBdr>
        <w:top w:val="none" w:sz="0" w:space="0" w:color="auto"/>
        <w:left w:val="none" w:sz="0" w:space="0" w:color="auto"/>
        <w:bottom w:val="none" w:sz="0" w:space="0" w:color="auto"/>
        <w:right w:val="none" w:sz="0" w:space="0" w:color="auto"/>
      </w:divBdr>
      <w:divsChild>
        <w:div w:id="551386469">
          <w:marLeft w:val="0"/>
          <w:marRight w:val="0"/>
          <w:marTop w:val="0"/>
          <w:marBottom w:val="0"/>
          <w:divBdr>
            <w:top w:val="none" w:sz="0" w:space="0" w:color="auto"/>
            <w:left w:val="none" w:sz="0" w:space="0" w:color="auto"/>
            <w:bottom w:val="none" w:sz="0" w:space="0" w:color="auto"/>
            <w:right w:val="none" w:sz="0" w:space="0" w:color="auto"/>
          </w:divBdr>
          <w:divsChild>
            <w:div w:id="248925467">
              <w:marLeft w:val="0"/>
              <w:marRight w:val="0"/>
              <w:marTop w:val="0"/>
              <w:marBottom w:val="0"/>
              <w:divBdr>
                <w:top w:val="none" w:sz="0" w:space="0" w:color="auto"/>
                <w:left w:val="none" w:sz="0" w:space="0" w:color="auto"/>
                <w:bottom w:val="none" w:sz="0" w:space="0" w:color="auto"/>
                <w:right w:val="none" w:sz="0" w:space="0" w:color="auto"/>
              </w:divBdr>
              <w:divsChild>
                <w:div w:id="1532570340">
                  <w:marLeft w:val="0"/>
                  <w:marRight w:val="0"/>
                  <w:marTop w:val="0"/>
                  <w:marBottom w:val="0"/>
                  <w:divBdr>
                    <w:top w:val="none" w:sz="0" w:space="0" w:color="auto"/>
                    <w:left w:val="none" w:sz="0" w:space="0" w:color="auto"/>
                    <w:bottom w:val="single" w:sz="12" w:space="1" w:color="auto"/>
                    <w:right w:val="none" w:sz="0" w:space="0" w:color="auto"/>
                  </w:divBdr>
                  <w:divsChild>
                    <w:div w:id="1366712576">
                      <w:marLeft w:val="0"/>
                      <w:marRight w:val="0"/>
                      <w:marTop w:val="0"/>
                      <w:marBottom w:val="0"/>
                      <w:divBdr>
                        <w:top w:val="none" w:sz="0" w:space="0" w:color="auto"/>
                        <w:left w:val="none" w:sz="0" w:space="0" w:color="auto"/>
                        <w:bottom w:val="single" w:sz="12" w:space="1" w:color="auto"/>
                        <w:right w:val="none" w:sz="0" w:space="0" w:color="auto"/>
                      </w:divBdr>
                    </w:div>
                    <w:div w:id="1611159652">
                      <w:marLeft w:val="0"/>
                      <w:marRight w:val="0"/>
                      <w:marTop w:val="0"/>
                      <w:marBottom w:val="0"/>
                      <w:divBdr>
                        <w:top w:val="double" w:sz="6" w:space="1"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mer.gob.mx/rfts/formulario/tramite.asp?coNodes=1513116&amp;num_modalidad=3&amp;epe=0&amp;nv=0" TargetMode="External"/><Relationship Id="rId3" Type="http://schemas.openxmlformats.org/officeDocument/2006/relationships/settings" Target="settings.xml"/><Relationship Id="rId7" Type="http://schemas.openxmlformats.org/officeDocument/2006/relationships/hyperlink" Target="http://www.cofemer.gob.mx/rfts/formulario/tramite.asp?coNodes=1513116&amp;num_modalidad=2&amp;epe=0&amp;n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mer.gob.mx/rfts/formulario/tramite.asp?coNodes=1513114&amp;num_modalidad=2&amp;epe=0&amp;nv=0" TargetMode="External"/><Relationship Id="rId5" Type="http://schemas.openxmlformats.org/officeDocument/2006/relationships/hyperlink" Target="http://www.cofemer.gob.mx/rfts/formulario/tramite.asp?coNodes=1513114&amp;num_modalidad=1&amp;epe=0&amp;n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2016-08-04T22:33:00Z</dcterms:created>
  <dcterms:modified xsi:type="dcterms:W3CDTF">2016-08-04T22:33:00Z</dcterms:modified>
</cp:coreProperties>
</file>