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831C81" w:rsidRDefault="00615A4E" w:rsidP="00831C81">
      <w:pPr>
        <w:rPr>
          <w:rFonts w:ascii="Garamond" w:hAnsi="Garamond" w:cs="Arial"/>
          <w:b/>
        </w:rPr>
      </w:pPr>
      <w:bookmarkStart w:id="0" w:name="_GoBack"/>
    </w:p>
    <w:p w:rsidR="00615A4E" w:rsidRPr="00831C81" w:rsidRDefault="00615A4E" w:rsidP="00615A4E">
      <w:pPr>
        <w:jc w:val="center"/>
        <w:rPr>
          <w:rFonts w:ascii="Garamond" w:hAnsi="Garamond" w:cs="Arial"/>
          <w:b/>
          <w:i/>
          <w:u w:val="single"/>
        </w:rPr>
      </w:pPr>
      <w:r w:rsidRPr="00831C81">
        <w:rPr>
          <w:rFonts w:ascii="Garamond" w:hAnsi="Garamond" w:cs="Arial"/>
          <w:b/>
          <w:i/>
          <w:u w:val="single"/>
        </w:rPr>
        <w:t>CONSUL</w:t>
      </w:r>
      <w:r w:rsidR="002B2AA5" w:rsidRPr="00831C81">
        <w:rPr>
          <w:rFonts w:ascii="Garamond" w:hAnsi="Garamond" w:cs="Arial"/>
          <w:b/>
          <w:i/>
          <w:u w:val="single"/>
        </w:rPr>
        <w:t>TA PÚBLICA DE NOTAS NACIONALES</w:t>
      </w:r>
    </w:p>
    <w:p w:rsidR="00EA2204" w:rsidRPr="00831C81" w:rsidRDefault="00EA2204" w:rsidP="00EA2204">
      <w:pPr>
        <w:spacing w:after="0"/>
        <w:jc w:val="center"/>
        <w:rPr>
          <w:rFonts w:ascii="Garamond" w:hAnsi="Garamond" w:cs="Arial"/>
          <w:b/>
        </w:rPr>
      </w:pPr>
      <w:r w:rsidRPr="00831C81">
        <w:rPr>
          <w:rFonts w:ascii="Garamond" w:hAnsi="Garamond" w:cs="Arial"/>
          <w:b/>
        </w:rPr>
        <w:t>SECCIÓN XI</w:t>
      </w:r>
    </w:p>
    <w:p w:rsidR="00EA2204" w:rsidRPr="00831C81" w:rsidRDefault="00EA2204" w:rsidP="00EA2204">
      <w:pPr>
        <w:jc w:val="center"/>
        <w:rPr>
          <w:rFonts w:ascii="Garamond" w:hAnsi="Garamond" w:cs="Arial"/>
        </w:rPr>
      </w:pPr>
    </w:p>
    <w:p w:rsidR="00EA2204" w:rsidRPr="00831C81" w:rsidRDefault="00EA2204" w:rsidP="00EA2204">
      <w:pPr>
        <w:jc w:val="center"/>
        <w:rPr>
          <w:rFonts w:ascii="Garamond" w:hAnsi="Garamond" w:cs="Arial"/>
          <w:b/>
        </w:rPr>
      </w:pPr>
      <w:r w:rsidRPr="00831C81">
        <w:rPr>
          <w:rFonts w:ascii="Garamond" w:hAnsi="Garamond" w:cs="Arial"/>
          <w:b/>
        </w:rPr>
        <w:t>MATERIAS TEXTILES Y SUS MANUFACTURAS</w:t>
      </w:r>
    </w:p>
    <w:p w:rsidR="00EA2204" w:rsidRPr="00831C81" w:rsidRDefault="00EA2204" w:rsidP="00EA2204">
      <w:pPr>
        <w:spacing w:after="0"/>
        <w:jc w:val="both"/>
        <w:rPr>
          <w:rFonts w:ascii="Garamond" w:hAnsi="Garamond" w:cs="Arial"/>
          <w:b/>
        </w:rPr>
      </w:pPr>
    </w:p>
    <w:p w:rsidR="00EA2204" w:rsidRPr="00831C81" w:rsidRDefault="00EA2204" w:rsidP="00EA2204">
      <w:pPr>
        <w:spacing w:after="0"/>
        <w:jc w:val="both"/>
        <w:rPr>
          <w:rFonts w:ascii="Garamond" w:hAnsi="Garamond" w:cs="Arial"/>
          <w:b/>
        </w:rPr>
      </w:pPr>
      <w:r w:rsidRPr="00831C81">
        <w:rPr>
          <w:rFonts w:ascii="Garamond" w:hAnsi="Garamond" w:cs="Arial"/>
          <w:b/>
        </w:rPr>
        <w:t>Notas Nacionales:</w:t>
      </w:r>
    </w:p>
    <w:p w:rsidR="00EA2204" w:rsidRPr="00831C81" w:rsidRDefault="00EA2204" w:rsidP="00EA2204">
      <w:pPr>
        <w:spacing w:after="0"/>
        <w:jc w:val="both"/>
        <w:rPr>
          <w:rFonts w:ascii="Garamond" w:hAnsi="Garamond" w:cs="Arial"/>
          <w:b/>
        </w:rPr>
      </w:pPr>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Para los efectos de esta Sección, se entenderá por:</w:t>
      </w:r>
    </w:p>
    <w:p w:rsidR="00EA2204" w:rsidRPr="00831C81" w:rsidRDefault="00EA2204" w:rsidP="00FD0911">
      <w:pPr>
        <w:pStyle w:val="Prrafodelista"/>
        <w:numPr>
          <w:ilvl w:val="1"/>
          <w:numId w:val="4"/>
        </w:numPr>
        <w:spacing w:after="0"/>
        <w:jc w:val="both"/>
        <w:rPr>
          <w:rFonts w:ascii="Garamond" w:hAnsi="Garamond" w:cs="Arial"/>
        </w:rPr>
      </w:pPr>
      <w:proofErr w:type="spellStart"/>
      <w:r w:rsidRPr="00831C81">
        <w:rPr>
          <w:rFonts w:ascii="Garamond" w:hAnsi="Garamond" w:cs="Arial"/>
        </w:rPr>
        <w:t>Pañaleros</w:t>
      </w:r>
      <w:proofErr w:type="spellEnd"/>
      <w:r w:rsidRPr="00831C81">
        <w:rPr>
          <w:rFonts w:ascii="Garamond" w:hAnsi="Garamond" w:cs="Arial"/>
        </w:rPr>
        <w:t>: la prenda de una sola pieza conformada por camiseta y calzón la cual cuenta con broches o cualquier otro sistema de cierre en la parte inferior;</w:t>
      </w: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 xml:space="preserve">Comandos: la prenda que cubre la mayor parte del cuerpo completo, generalmente afelpada o </w:t>
      </w:r>
      <w:proofErr w:type="spellStart"/>
      <w:r w:rsidRPr="00831C81">
        <w:rPr>
          <w:rFonts w:ascii="Garamond" w:hAnsi="Garamond" w:cs="Arial"/>
        </w:rPr>
        <w:t>capitonada</w:t>
      </w:r>
      <w:proofErr w:type="spellEnd"/>
      <w:r w:rsidRPr="00831C81">
        <w:rPr>
          <w:rFonts w:ascii="Garamond" w:hAnsi="Garamond" w:cs="Arial"/>
        </w:rPr>
        <w:t xml:space="preserve"> que se usa para abrigar a los bebés, y</w:t>
      </w: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En las fracciones 6111.20.05, 6111.30.05, 6111.90.02, 6209.20.02, 6209.30.02, 6209.90.02 se entenderá por "juegos" hasta tres prendas de vestir diferentes de las partidas 61.11 y 62.09, acompañadas de complementos y accesorios clasificados en las partidas 61.11, 62.09 y 65.05, que se presenten juntos, con la misma estructura de tejido, de tallas correspondientes entre sí y destinadas a ser usadas al mismo tiempo por la misma persona.</w:t>
      </w:r>
    </w:p>
    <w:p w:rsidR="00EA2204" w:rsidRPr="00831C81" w:rsidRDefault="00EA2204" w:rsidP="00EA2204">
      <w:pPr>
        <w:pStyle w:val="Prrafodelista"/>
        <w:spacing w:after="0"/>
        <w:ind w:left="1080"/>
        <w:jc w:val="both"/>
        <w:rPr>
          <w:rFonts w:ascii="Garamond" w:hAnsi="Garamond" w:cs="Arial"/>
        </w:rPr>
      </w:pPr>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Las Secretarías de Hacienda y Crédito Público y de Economía establecerán mediante Notas Explicativas de la Tarifa arancelaria los criterios para la determinación de las medidas y/o tallas que identifican a las prendas de vestir denominadas de hombre, mujer, niño y niña. Cuando no sean aplicables dichas Notas Explicativas, las prendas de vestirse clasificarán de acuerdo con la medida de cuerpo definida de la siguiente forma:</w:t>
      </w:r>
    </w:p>
    <w:p w:rsidR="00EA2204" w:rsidRPr="00831C81" w:rsidRDefault="00EA2204" w:rsidP="00EA2204">
      <w:pPr>
        <w:spacing w:after="0"/>
        <w:jc w:val="both"/>
        <w:rPr>
          <w:rFonts w:ascii="Garamond" w:hAnsi="Garamond" w:cs="Arial"/>
        </w:rPr>
      </w:pP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las partidas 61.01 y 62.01 para hombres, aquellos cuyo perímetro de pecho sea igual o superior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61.01 y 62.01 para niños, aquellos cuyo perímetro de pecho sea inferior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mujeres, aquellos cuyo perímetro de pecho sea igual o superior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niñas, aquellos cuyo perímetro de pecho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hombres, aquellos cuyo perímetro de cintura sea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niños, aquellos cuyo perímetro de cintura sea menor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mujeres, aquellos cuyo perímetro de cintura sea igual o superior a 26pulgadas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niñas, aquellos cuyo perímetro de cintura sea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Pantalones cortos y/o shorts para hombres, aquellos cuyo perímetro de cintura sea igual o superior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11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niños, aquellos cuyo perímetro de cintura sea inferior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9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mujeres, aquellos cuyo perímetro de cintura sea igual o superior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10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niñas, aquellos cuyo perímetro de cintura sea inferior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7.5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hombres, aquellos cuyo perímetro de pecho sea igual o superior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niños, aquellos cuyo perímetro de pecho sea inferior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mujeres, aquellas cuyo perímetro de busto sea igual o superior a 32pulgadas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niñas, aquellas cuyo perímetro de busto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mujeres, aquellos cuyo perímetro de busto sea igual o superior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niñas, aquellos cuyo perímetro de busto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hombres, aquellos cuyo perímetro de cintura sea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niños, aquellos cuyo perímetro de cintura sea inferior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mujeres, aquellas cuyo perímetro de cintura sea igual o superior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niñas, aquellas cuyo perímetro de cintura sea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hombres:</w:t>
      </w:r>
    </w:p>
    <w:p w:rsidR="00EA2204" w:rsidRPr="00831C81"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34 pulgadas o su equivalente en centímetros, y</w:t>
      </w:r>
    </w:p>
    <w:p w:rsidR="00EA2204" w:rsidRPr="00831C81"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partes bajas: aquellas cuyo perímetro de cintura es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niños:</w:t>
      </w:r>
    </w:p>
    <w:p w:rsidR="00EA2204" w:rsidRPr="00831C81"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inferior a 34 pulgadas o su equivalente en centímetros, y</w:t>
      </w:r>
    </w:p>
    <w:p w:rsidR="00EA2204" w:rsidRPr="00831C81"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partes bajas: aquellas cuyo perímetro interior de cintura es inferior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mujeres:</w:t>
      </w:r>
    </w:p>
    <w:p w:rsidR="00EA2204" w:rsidRPr="00831C81"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32 pulgadas o su equivalente en centímetros, y</w:t>
      </w:r>
    </w:p>
    <w:p w:rsidR="00EA2204" w:rsidRPr="00831C81" w:rsidRDefault="00EA2204" w:rsidP="00FD0911">
      <w:pPr>
        <w:pStyle w:val="Prrafodelista"/>
        <w:numPr>
          <w:ilvl w:val="0"/>
          <w:numId w:val="8"/>
        </w:numPr>
        <w:spacing w:after="0"/>
        <w:jc w:val="both"/>
        <w:rPr>
          <w:rFonts w:ascii="Garamond" w:hAnsi="Garamond" w:cs="Arial"/>
        </w:rPr>
      </w:pPr>
      <w:r w:rsidRPr="00831C81">
        <w:rPr>
          <w:rFonts w:ascii="Garamond" w:hAnsi="Garamond" w:cs="Arial"/>
        </w:rPr>
        <w:lastRenderedPageBreak/>
        <w:t>Para prendas que cubran partes bajas: aquellas cuyo perímetro interior de cintura es igual o superior a 26pulgadas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niñas:</w:t>
      </w: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 xml:space="preserve">Para prendas que cubran la mayor parte del cuerpo y partes altas cuando se presenten de manera individual </w:t>
      </w:r>
      <w:proofErr w:type="spellStart"/>
      <w:r w:rsidRPr="00831C81">
        <w:rPr>
          <w:rFonts w:ascii="Garamond" w:hAnsi="Garamond" w:cs="Arial"/>
        </w:rPr>
        <w:t>oen</w:t>
      </w:r>
      <w:proofErr w:type="spellEnd"/>
      <w:r w:rsidRPr="00831C81">
        <w:rPr>
          <w:rFonts w:ascii="Garamond" w:hAnsi="Garamond" w:cs="Arial"/>
        </w:rPr>
        <w:t xml:space="preserve"> conjunto: aquellas cuyo perímetro de pecho es inferior a 32 pulgadas o su equivalente en centímetros, y</w:t>
      </w: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Para prendas que cubran partes bajas: aquellas cuyo perímetro interior de cintura es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w:t>
      </w:r>
      <w:proofErr w:type="spellStart"/>
      <w:r w:rsidRPr="00831C81">
        <w:rPr>
          <w:rFonts w:ascii="Garamond" w:hAnsi="Garamond" w:cs="Arial"/>
        </w:rPr>
        <w:t>shirt</w:t>
      </w:r>
      <w:proofErr w:type="spellEnd"/>
      <w:r w:rsidRPr="00831C81">
        <w:rPr>
          <w:rFonts w:ascii="Garamond" w:hAnsi="Garamond" w:cs="Arial"/>
        </w:rPr>
        <w:t xml:space="preserve"> y camisetas para hombres y mujeres: aquellas cuyo perímetro de pecho sea igual o superior a 34 pulgadas para hombres y a 32 pulgadas para mujeres,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w:t>
      </w:r>
      <w:proofErr w:type="spellStart"/>
      <w:r w:rsidRPr="00831C81">
        <w:rPr>
          <w:rFonts w:ascii="Garamond" w:hAnsi="Garamond" w:cs="Arial"/>
        </w:rPr>
        <w:t>shirt</w:t>
      </w:r>
      <w:proofErr w:type="spellEnd"/>
      <w:r w:rsidRPr="00831C81">
        <w:rPr>
          <w:rFonts w:ascii="Garamond" w:hAnsi="Garamond" w:cs="Arial"/>
        </w:rPr>
        <w:t xml:space="preserve"> y camisetas para niños y niñas: aquellas cuyo perímetro de pecho sea inferior a 34 pulgadas para niños y a32 pulgadas para niñas,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hombres y mujeres: aquellas cuyo perímetro de pecho sea igual o superior a 34 pulgadas para hombres y a 32pulgadas para mujeres, o su equivalente en centímetros, y</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niños y niñas: aquellas cuyo perímetro de pecho sea inferior a 34 pulgadas para niños y a 32 pulgadas para niñas, o su equivalente en centímetros.</w:t>
      </w:r>
    </w:p>
    <w:p w:rsidR="00271504" w:rsidRPr="00831C81" w:rsidRDefault="00271504" w:rsidP="003B6B28">
      <w:pPr>
        <w:jc w:val="center"/>
        <w:rPr>
          <w:rFonts w:ascii="Garamond" w:hAnsi="Garamond" w:cs="Arial"/>
          <w:b/>
        </w:rPr>
      </w:pPr>
    </w:p>
    <w:p w:rsidR="00271504" w:rsidRPr="00831C81" w:rsidRDefault="00271504" w:rsidP="003B6B28">
      <w:pPr>
        <w:jc w:val="center"/>
        <w:rPr>
          <w:rFonts w:ascii="Garamond" w:hAnsi="Garamond" w:cs="Arial"/>
          <w:b/>
        </w:rPr>
      </w:pPr>
    </w:p>
    <w:p w:rsidR="003B6B28" w:rsidRPr="00831C81" w:rsidRDefault="003B6B28" w:rsidP="003B6B28">
      <w:pPr>
        <w:jc w:val="center"/>
        <w:rPr>
          <w:rFonts w:ascii="Garamond" w:hAnsi="Garamond" w:cs="Arial"/>
          <w:b/>
        </w:rPr>
      </w:pPr>
      <w:r w:rsidRPr="00831C81">
        <w:rPr>
          <w:rFonts w:ascii="Garamond" w:hAnsi="Garamond" w:cs="Arial"/>
          <w:b/>
        </w:rPr>
        <w:t>Capítulo 61</w:t>
      </w:r>
    </w:p>
    <w:p w:rsidR="00EA2204" w:rsidRPr="00831C81" w:rsidRDefault="00EA2204" w:rsidP="00EA2204">
      <w:pPr>
        <w:spacing w:after="0"/>
        <w:rPr>
          <w:rFonts w:ascii="Garamond" w:hAnsi="Garamond" w:cs="Arial"/>
          <w:b/>
        </w:rPr>
      </w:pPr>
      <w:r w:rsidRPr="00831C81">
        <w:rPr>
          <w:rFonts w:ascii="Garamond" w:hAnsi="Garamond" w:cs="Arial"/>
          <w:b/>
        </w:rPr>
        <w:t>Notas:</w:t>
      </w:r>
    </w:p>
    <w:p w:rsidR="00EA2204" w:rsidRPr="00831C81" w:rsidRDefault="00EA2204" w:rsidP="00EA2204">
      <w:pPr>
        <w:spacing w:after="0"/>
        <w:rPr>
          <w:rFonts w:ascii="Garamond" w:hAnsi="Garamond" w:cs="Arial"/>
          <w:b/>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Sin perjuicio de lo dispuesto en la Nota legal 5 del presente Capítulo, la partida 61.09 también incluye a las camisetas sin mangas, sin cuello, de punto de algodón sin perchar o de fibras sintéticas o artificiales, distintas del terciopelo, la felpa o los tejidos con bucles de punto, incluso de varios colores, que pueden tener motivos de tipo deportivo, decorativo o publicitario, con excepción de los encajes.</w:t>
      </w:r>
    </w:p>
    <w:p w:rsidR="00EA2204" w:rsidRPr="00831C81" w:rsidRDefault="00EA2204" w:rsidP="00EA2204">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61.03 y 61.04,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de punto, conocidas en algunos países también con el nombre de ‘calzones’, que se clasifican en las partidas 61.07 o 61.08, según los casos.</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 partida 61.06, el término "blusa" comprende también a las prendas que no tengan mangas o que su altura esté por encima de la cintura.</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 xml:space="preserve">Para los efectos de la </w:t>
      </w:r>
      <w:proofErr w:type="spellStart"/>
      <w:r w:rsidRPr="00831C81">
        <w:rPr>
          <w:rFonts w:ascii="Garamond" w:eastAsia="Times New Roman" w:hAnsi="Garamond" w:cs="Arial"/>
          <w:color w:val="000000"/>
          <w:lang w:eastAsia="es-MX"/>
        </w:rPr>
        <w:t>subpartida</w:t>
      </w:r>
      <w:proofErr w:type="spellEnd"/>
      <w:r w:rsidRPr="00831C81">
        <w:rPr>
          <w:rFonts w:ascii="Garamond" w:eastAsia="Times New Roman" w:hAnsi="Garamond" w:cs="Arial"/>
          <w:color w:val="000000"/>
          <w:lang w:eastAsia="es-MX"/>
        </w:rPr>
        <w:t xml:space="preserve"> 6110.12, la expresión “De cabra de Cachemira” debe entenderse como “De cabra de Cachemira (“</w:t>
      </w:r>
      <w:proofErr w:type="spellStart"/>
      <w:r w:rsidRPr="00831C81">
        <w:rPr>
          <w:rFonts w:ascii="Garamond" w:eastAsia="Times New Roman" w:hAnsi="Garamond" w:cs="Arial"/>
          <w:color w:val="000000"/>
          <w:lang w:eastAsia="es-MX"/>
        </w:rPr>
        <w:t>cashmere</w:t>
      </w:r>
      <w:proofErr w:type="spellEnd"/>
      <w:r w:rsidRPr="00831C81">
        <w:rPr>
          <w:rFonts w:ascii="Garamond" w:eastAsia="Times New Roman" w:hAnsi="Garamond" w:cs="Arial"/>
          <w:color w:val="000000"/>
          <w:lang w:eastAsia="es-MX"/>
        </w:rPr>
        <w:t>”)”.”</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 xml:space="preserve">Para efecto de las </w:t>
      </w:r>
      <w:proofErr w:type="spellStart"/>
      <w:r w:rsidRPr="00831C81">
        <w:rPr>
          <w:rFonts w:ascii="Garamond" w:eastAsia="Times New Roman" w:hAnsi="Garamond" w:cs="Arial"/>
          <w:color w:val="000000"/>
          <w:lang w:eastAsia="es-MX"/>
        </w:rPr>
        <w:t>subpartidas</w:t>
      </w:r>
      <w:proofErr w:type="spellEnd"/>
      <w:r w:rsidRPr="00831C81">
        <w:rPr>
          <w:rFonts w:ascii="Garamond" w:eastAsia="Times New Roman" w:hAnsi="Garamond" w:cs="Arial"/>
          <w:color w:val="000000"/>
          <w:lang w:eastAsia="es-MX"/>
        </w:rPr>
        <w:t xml:space="preserve"> 6112.41 y 6112.49 el término bañador (traje de baño) comprende las prendas femeninas constituidas por una sola pieza que cubran el dorso hasta por debajo de las ingles y los de dos piezas compuestos por una braga y un sostén.  Los bañadores de dos piezas </w:t>
      </w:r>
      <w:r w:rsidRPr="00831C81">
        <w:rPr>
          <w:rFonts w:ascii="Garamond" w:eastAsia="Times New Roman" w:hAnsi="Garamond" w:cs="Arial"/>
          <w:color w:val="000000"/>
          <w:lang w:eastAsia="es-MX"/>
        </w:rPr>
        <w:lastRenderedPageBreak/>
        <w:t xml:space="preserve">se clasifican en estas </w:t>
      </w:r>
      <w:proofErr w:type="spellStart"/>
      <w:r w:rsidRPr="00831C81">
        <w:rPr>
          <w:rFonts w:ascii="Garamond" w:eastAsia="Times New Roman" w:hAnsi="Garamond" w:cs="Arial"/>
          <w:color w:val="000000"/>
          <w:lang w:eastAsia="es-MX"/>
        </w:rPr>
        <w:t>subpartidas</w:t>
      </w:r>
      <w:proofErr w:type="spellEnd"/>
      <w:r w:rsidRPr="00831C81">
        <w:rPr>
          <w:rFonts w:ascii="Garamond" w:eastAsia="Times New Roman" w:hAnsi="Garamond" w:cs="Arial"/>
          <w:color w:val="000000"/>
          <w:lang w:eastAsia="es-MX"/>
        </w:rPr>
        <w:t xml:space="preserve"> aun cuando se presenten por separado para la venta al por menor.</w:t>
      </w:r>
    </w:p>
    <w:p w:rsidR="003B6B28" w:rsidRPr="00831C81" w:rsidRDefault="003B6B28" w:rsidP="003B6B28">
      <w:pPr>
        <w:pStyle w:val="Prrafodelista"/>
        <w:rPr>
          <w:rFonts w:ascii="Garamond" w:eastAsia="Times New Roman" w:hAnsi="Garamond" w:cs="Arial"/>
          <w:color w:val="000000"/>
          <w:lang w:eastAsia="es-MX"/>
        </w:rPr>
      </w:pPr>
    </w:p>
    <w:p w:rsidR="003B6B28" w:rsidRPr="00831C81" w:rsidRDefault="003B6B28" w:rsidP="003B6B28">
      <w:pPr>
        <w:pStyle w:val="Prrafodelista"/>
        <w:spacing w:after="0"/>
        <w:jc w:val="both"/>
        <w:rPr>
          <w:rFonts w:ascii="Garamond" w:eastAsia="Times New Roman" w:hAnsi="Garamond" w:cs="Arial"/>
          <w:color w:val="000000"/>
          <w:lang w:eastAsia="es-MX"/>
        </w:rPr>
      </w:pPr>
    </w:p>
    <w:p w:rsidR="00EA2204" w:rsidRPr="00831C81" w:rsidRDefault="00EA2204" w:rsidP="00EA2204">
      <w:pPr>
        <w:spacing w:after="0"/>
        <w:jc w:val="center"/>
        <w:rPr>
          <w:rFonts w:ascii="Garamond" w:eastAsia="Times New Roman" w:hAnsi="Garamond" w:cs="Arial"/>
          <w:b/>
          <w:color w:val="000000" w:themeColor="text1"/>
          <w:lang w:eastAsia="es-MX"/>
        </w:rPr>
      </w:pPr>
      <w:r w:rsidRPr="00831C81">
        <w:rPr>
          <w:rFonts w:ascii="Garamond" w:eastAsia="Times New Roman" w:hAnsi="Garamond" w:cs="Arial"/>
          <w:b/>
          <w:color w:val="000000" w:themeColor="text1"/>
          <w:lang w:eastAsia="es-MX"/>
        </w:rPr>
        <w:t>Capítulo 62</w:t>
      </w:r>
    </w:p>
    <w:p w:rsidR="00EA2204" w:rsidRPr="00831C81" w:rsidRDefault="00EA2204" w:rsidP="00EA2204">
      <w:pPr>
        <w:spacing w:after="0"/>
        <w:jc w:val="both"/>
        <w:rPr>
          <w:rFonts w:ascii="Garamond" w:hAnsi="Garamond" w:cs="Arial"/>
          <w:b/>
        </w:rPr>
      </w:pPr>
    </w:p>
    <w:p w:rsidR="00EA2204" w:rsidRPr="00831C81" w:rsidRDefault="003B6B28" w:rsidP="00EA2204">
      <w:pPr>
        <w:spacing w:after="0"/>
        <w:jc w:val="both"/>
        <w:rPr>
          <w:rFonts w:ascii="Garamond" w:hAnsi="Garamond" w:cs="Arial"/>
          <w:b/>
        </w:rPr>
      </w:pPr>
      <w:r w:rsidRPr="00831C81">
        <w:rPr>
          <w:rFonts w:ascii="Garamond" w:hAnsi="Garamond" w:cs="Arial"/>
          <w:b/>
        </w:rPr>
        <w:t>Notas</w:t>
      </w:r>
      <w:r w:rsidR="00EA2204" w:rsidRPr="00831C81">
        <w:rPr>
          <w:rFonts w:ascii="Garamond" w:hAnsi="Garamond" w:cs="Arial"/>
          <w:b/>
        </w:rPr>
        <w:t>:</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831C81" w:rsidTr="008A702D">
        <w:trPr>
          <w:trHeight w:val="300"/>
        </w:trPr>
        <w:tc>
          <w:tcPr>
            <w:tcW w:w="4065" w:type="dxa"/>
            <w:tcBorders>
              <w:top w:val="nil"/>
              <w:left w:val="nil"/>
              <w:bottom w:val="nil"/>
              <w:right w:val="nil"/>
            </w:tcBorders>
            <w:shd w:val="clear" w:color="000000" w:fill="FFFFFF"/>
            <w:vAlign w:val="center"/>
          </w:tcPr>
          <w:p w:rsidR="00EA2204" w:rsidRPr="00831C81" w:rsidRDefault="00EA2204" w:rsidP="008A702D">
            <w:pPr>
              <w:spacing w:after="0"/>
              <w:jc w:val="both"/>
              <w:rPr>
                <w:rFonts w:ascii="Garamond" w:hAnsi="Garamond" w:cs="Arial"/>
                <w:b/>
              </w:rPr>
            </w:pPr>
          </w:p>
        </w:tc>
        <w:tc>
          <w:tcPr>
            <w:tcW w:w="4065" w:type="dxa"/>
            <w:tcBorders>
              <w:top w:val="nil"/>
              <w:left w:val="nil"/>
              <w:bottom w:val="nil"/>
              <w:right w:val="nil"/>
            </w:tcBorders>
            <w:shd w:val="clear" w:color="000000" w:fill="FFFFFF"/>
          </w:tcPr>
          <w:p w:rsidR="00EA2204" w:rsidRPr="00831C81" w:rsidRDefault="00EA2204" w:rsidP="008A702D">
            <w:pPr>
              <w:spacing w:after="0"/>
              <w:jc w:val="both"/>
              <w:rPr>
                <w:rFonts w:ascii="Garamond" w:hAnsi="Garamond" w:cs="Arial"/>
                <w:b/>
              </w:rPr>
            </w:pPr>
          </w:p>
        </w:tc>
      </w:tr>
    </w:tbl>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62.03 y 62.04,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conocidas en algunos países también con el nombre de ‘calzones’, que se clasifican en las partidas 62.07 o 62.08, según los casos.</w:t>
      </w:r>
    </w:p>
    <w:p w:rsidR="00EA2204" w:rsidRPr="00831C81" w:rsidRDefault="00EA2204" w:rsidP="00271504">
      <w:pPr>
        <w:pStyle w:val="Prrafodelista"/>
        <w:spacing w:after="0"/>
        <w:jc w:val="both"/>
        <w:rPr>
          <w:rFonts w:ascii="Garamond" w:eastAsia="Times New Roman" w:hAnsi="Garamond" w:cs="Arial"/>
          <w:color w:val="000000"/>
          <w:lang w:eastAsia="es-MX"/>
        </w:rPr>
      </w:pPr>
    </w:p>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 xml:space="preserve">Para efecto de la </w:t>
      </w:r>
      <w:proofErr w:type="spellStart"/>
      <w:r w:rsidRPr="00831C81">
        <w:rPr>
          <w:rFonts w:ascii="Garamond" w:eastAsia="Times New Roman" w:hAnsi="Garamond" w:cs="Arial"/>
          <w:color w:val="000000"/>
          <w:lang w:eastAsia="es-MX"/>
        </w:rPr>
        <w:t>subpartida</w:t>
      </w:r>
      <w:proofErr w:type="spellEnd"/>
      <w:r w:rsidRPr="00831C81">
        <w:rPr>
          <w:rFonts w:ascii="Garamond" w:eastAsia="Times New Roman" w:hAnsi="Garamond" w:cs="Arial"/>
          <w:color w:val="000000"/>
          <w:lang w:eastAsia="es-MX"/>
        </w:rPr>
        <w:t xml:space="preserve"> 6211.12, el término bañador (traje de baño) comprende las prendas femeninas constituidas por una sola pieza que cubran el dorso hasta por debajo de las ingles y los de dos piezas compuestos por una braga y un sostén.  Los bañadores de dos piezas se clasifican en esta </w:t>
      </w:r>
      <w:proofErr w:type="spellStart"/>
      <w:r w:rsidRPr="00831C81">
        <w:rPr>
          <w:rFonts w:ascii="Garamond" w:eastAsia="Times New Roman" w:hAnsi="Garamond" w:cs="Arial"/>
          <w:color w:val="000000"/>
          <w:lang w:eastAsia="es-MX"/>
        </w:rPr>
        <w:t>subpartida</w:t>
      </w:r>
      <w:proofErr w:type="spellEnd"/>
      <w:r w:rsidRPr="00831C81">
        <w:rPr>
          <w:rFonts w:ascii="Garamond" w:eastAsia="Times New Roman" w:hAnsi="Garamond" w:cs="Arial"/>
          <w:color w:val="000000"/>
          <w:lang w:eastAsia="es-MX"/>
        </w:rPr>
        <w:t xml:space="preserve"> aun cuando se presenten por separado para la venta al por menor.</w:t>
      </w:r>
    </w:p>
    <w:p w:rsidR="00EA2204" w:rsidRPr="00831C81" w:rsidRDefault="00EA2204" w:rsidP="00EA2204">
      <w:pPr>
        <w:spacing w:after="0"/>
        <w:jc w:val="both"/>
        <w:rPr>
          <w:rFonts w:ascii="Garamond" w:hAnsi="Garamond" w:cs="Arial"/>
          <w:b/>
        </w:rPr>
      </w:pPr>
    </w:p>
    <w:bookmarkEnd w:id="0"/>
    <w:p w:rsidR="00EA2204" w:rsidRPr="00831C81" w:rsidRDefault="00EA2204" w:rsidP="00615A4E">
      <w:pPr>
        <w:jc w:val="center"/>
        <w:rPr>
          <w:rFonts w:ascii="Garamond" w:hAnsi="Garamond" w:cs="Arial"/>
          <w:b/>
          <w:i/>
          <w:u w:val="single"/>
        </w:rPr>
      </w:pPr>
    </w:p>
    <w:sectPr w:rsidR="00EA2204" w:rsidRPr="00831C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BF" w:rsidRDefault="00EE51BF" w:rsidP="00615A4E">
      <w:pPr>
        <w:spacing w:after="0" w:line="240" w:lineRule="auto"/>
      </w:pPr>
      <w:r>
        <w:separator/>
      </w:r>
    </w:p>
  </w:endnote>
  <w:endnote w:type="continuationSeparator" w:id="0">
    <w:p w:rsidR="00EE51BF" w:rsidRDefault="00EE51BF"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BF" w:rsidRDefault="00EE51BF" w:rsidP="00615A4E">
      <w:pPr>
        <w:spacing w:after="0" w:line="240" w:lineRule="auto"/>
      </w:pPr>
      <w:r>
        <w:separator/>
      </w:r>
    </w:p>
  </w:footnote>
  <w:footnote w:type="continuationSeparator" w:id="0">
    <w:p w:rsidR="00EE51BF" w:rsidRDefault="00EE51BF"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1D9632D7"/>
    <w:multiLevelType w:val="hybridMultilevel"/>
    <w:tmpl w:val="C3DEC348"/>
    <w:lvl w:ilvl="0" w:tplc="080A000F">
      <w:start w:val="1"/>
      <w:numFmt w:val="decimal"/>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6A27389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7"/>
  </w:num>
  <w:num w:numId="8">
    <w:abstractNumId w:val="8"/>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1C4923"/>
    <w:rsid w:val="00271504"/>
    <w:rsid w:val="002B2AA5"/>
    <w:rsid w:val="003A1395"/>
    <w:rsid w:val="003B6B28"/>
    <w:rsid w:val="004D7335"/>
    <w:rsid w:val="00537CE6"/>
    <w:rsid w:val="00615A4E"/>
    <w:rsid w:val="00751B5F"/>
    <w:rsid w:val="007E7CF6"/>
    <w:rsid w:val="00831C81"/>
    <w:rsid w:val="009C5CD1"/>
    <w:rsid w:val="00A06A37"/>
    <w:rsid w:val="00EA2204"/>
    <w:rsid w:val="00EE51BF"/>
    <w:rsid w:val="00EF630A"/>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5</cp:revision>
  <dcterms:created xsi:type="dcterms:W3CDTF">2018-07-09T21:57:00Z</dcterms:created>
  <dcterms:modified xsi:type="dcterms:W3CDTF">2018-07-10T21:03:00Z</dcterms:modified>
</cp:coreProperties>
</file>