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582"/>
        <w:gridCol w:w="1008"/>
        <w:gridCol w:w="1894"/>
      </w:tblGrid>
      <w:tr w:rsidR="0023795E" w:rsidTr="00A92E26">
        <w:trPr>
          <w:trHeight w:val="227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/>
              </w:rPr>
            </w:pPr>
            <w:bookmarkStart w:id="0" w:name="_GoBack" w:colFirst="1" w:colLast="1"/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Tipo de trámite: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Pr="003F523C" w:rsidRDefault="0023795E" w:rsidP="00A92E26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</w:rPr>
            </w:pPr>
            <w:r w:rsidRPr="003F523C">
              <w:rPr>
                <w:rFonts w:ascii="Montserrat" w:hAnsi="Montserrat" w:cs="Calibri"/>
                <w:b/>
                <w:color w:val="000000"/>
                <w:sz w:val="20"/>
                <w:szCs w:val="18"/>
              </w:rPr>
              <w:t xml:space="preserve">Programa </w:t>
            </w:r>
            <w:proofErr w:type="spellStart"/>
            <w:r>
              <w:rPr>
                <w:rFonts w:ascii="Montserrat" w:hAnsi="Montserrat" w:cs="Calibri"/>
                <w:b/>
                <w:color w:val="000000"/>
                <w:sz w:val="20"/>
                <w:szCs w:val="18"/>
              </w:rPr>
              <w:t>Prosec</w:t>
            </w:r>
            <w:proofErr w:type="spellEnd"/>
            <w:r>
              <w:rPr>
                <w:rFonts w:ascii="Montserrat" w:hAnsi="Montserrat" w:cs="Calibri"/>
                <w:b/>
                <w:color w:val="000000"/>
                <w:sz w:val="20"/>
                <w:szCs w:val="18"/>
              </w:rPr>
              <w:t xml:space="preserve"> </w:t>
            </w:r>
            <w:r w:rsidRPr="003F523C">
              <w:rPr>
                <w:rFonts w:ascii="Montserrat" w:hAnsi="Montserrat" w:cs="Calibri"/>
                <w:b/>
                <w:color w:val="000000"/>
                <w:sz w:val="20"/>
                <w:szCs w:val="18"/>
              </w:rPr>
              <w:t>Energía Eléctrica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Información Adicional</w:t>
            </w:r>
          </w:p>
        </w:tc>
      </w:tr>
      <w:bookmarkEnd w:id="0"/>
      <w:tr w:rsidR="0023795E" w:rsidTr="00A92E26">
        <w:trPr>
          <w:trHeight w:val="22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Folio: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Razón Social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23795E" w:rsidTr="00A92E26">
        <w:trPr>
          <w:trHeight w:val="227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RFC:</w:t>
            </w:r>
          </w:p>
        </w:tc>
        <w:tc>
          <w:tcPr>
            <w:tcW w:w="3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23795E" w:rsidTr="00A92E26">
        <w:trPr>
          <w:trHeight w:val="227"/>
        </w:trPr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Datos de contacto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(Nombre y correo electrónico)</w:t>
            </w:r>
          </w:p>
        </w:tc>
        <w:tc>
          <w:tcPr>
            <w:tcW w:w="1117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Requisitos: 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br/>
              <w:t>Regla 3.4..13 del Acuerdo de Reglas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Cumple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Nombre del Documento o Anexo //Observaciones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Una vez autorizado el programa PROSEC, la empresa fabricante de la fracción arancelaria 2716.00.01 de la Tarifa, podrá importar hasta 3,660 generadores fotovoltaicos. Para ello, la empresa deberá solicitar a la DGCE la autorización de la importación mediante la presentación de un escrito libre firmado por su representante legal, en el que se señale: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Monto solicitado, por fracción arancelaria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Fracciones arancelarias que correspondan a las mercancías a importar;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Designación de dos enlaces, 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2 Enlaces (Nombre y correo electrónico) y escrito libre en el que se mencione la aceptación de recibir y enviar información válidamente a través de la cuenta de correo electrónico que señalen para tales efectos al correo electrónico: panelesolares.prosec@economia.gob.mx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</w:rPr>
              <w:t>Autorización Subsecuente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i)La relación de los pedimentos mediante los cuales se importaron los generadores fotovoltaicos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ii)La relación de los inmuebles y el domicilio de éstos, en donde se instalaron los generadores fotovoltaicos, señalando cuántos fueron instalados en cada uno de ellos, 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iii)Por cada instalación: Los contratos de contraprestación e interconexión celebrados entre el usuario, el generador exento y la Comisión Federal de Electricidad, según corresponda; y de compraventa de energía eléctrica y de arrendamiento o de comodato celebrados con el usuario final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23795E" w:rsidTr="00A92E26">
        <w:trPr>
          <w:trHeight w:val="22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 conformidad con la Regla 5.7.1, numeral 3, la SE contará con un plazo de quince días hábiles para emitir la resolución correspondiente.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795E" w:rsidRDefault="0023795E" w:rsidP="00A92E26">
            <w:pPr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3795E" w:rsidRDefault="0023795E"/>
    <w:sectPr w:rsidR="0023795E" w:rsidSect="002379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E"/>
    <w:rsid w:val="0023795E"/>
    <w:rsid w:val="0076045A"/>
    <w:rsid w:val="009A1144"/>
    <w:rsid w:val="00A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717F"/>
  <w15:chartTrackingRefBased/>
  <w15:docId w15:val="{6F561CE9-FBD6-42F0-93EB-D6FF656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9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García Ojeda</dc:creator>
  <cp:keywords/>
  <dc:description/>
  <cp:lastModifiedBy>Quetzali García Ojeda</cp:lastModifiedBy>
  <cp:revision>1</cp:revision>
  <dcterms:created xsi:type="dcterms:W3CDTF">2020-01-28T17:26:00Z</dcterms:created>
  <dcterms:modified xsi:type="dcterms:W3CDTF">2020-01-28T18:58:00Z</dcterms:modified>
</cp:coreProperties>
</file>