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A914A9"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 xml:space="preserve">ACUERDO </w:t>
      </w:r>
      <w:r w:rsidRPr="00A914A9">
        <w:rPr>
          <w:rFonts w:ascii="Arial" w:hAnsi="Arial"/>
          <w:sz w:val="24"/>
          <w:szCs w:val="24"/>
        </w:rPr>
        <w:t xml:space="preserve">por el que se da a conocer la Decisión No.92 </w:t>
      </w:r>
      <w:bookmarkEnd w:id="0"/>
      <w:r w:rsidRPr="00A914A9">
        <w:rPr>
          <w:rFonts w:ascii="Arial" w:hAnsi="Arial"/>
          <w:sz w:val="24"/>
          <w:szCs w:val="24"/>
        </w:rPr>
        <w:t>de la Comisión Administradora del Tratado de Libre Comercio entre los Estados Unidos Mexicanos y la República de Colombia, adoptada el 6 de marzo de 2018</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7E4008">
        <w:rPr>
          <w:rFonts w:ascii="Arial" w:hAnsi="Arial"/>
          <w:b w:val="0"/>
          <w:szCs w:val="24"/>
        </w:rPr>
        <w:t xml:space="preserve"> la Federación el 06 de marzo d</w:t>
      </w:r>
      <w:r w:rsidRPr="00366D47">
        <w:rPr>
          <w:rFonts w:ascii="Arial" w:hAnsi="Arial"/>
          <w:b w:val="0"/>
          <w:szCs w:val="24"/>
        </w:rPr>
        <w:t xml:space="preserve">e </w:t>
      </w:r>
      <w:r w:rsidR="007E4008">
        <w:rPr>
          <w:rFonts w:ascii="Arial" w:hAnsi="Arial"/>
          <w:b w:val="0"/>
          <w:szCs w:val="24"/>
        </w:rPr>
        <w:t>2018</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A914A9">
        <w:rPr>
          <w:rFonts w:ascii="Arial" w:hAnsi="Arial"/>
          <w:b w:val="0"/>
          <w:szCs w:val="24"/>
        </w:rPr>
        <w:t>06</w:t>
      </w:r>
      <w:r w:rsidR="006C5163">
        <w:rPr>
          <w:rFonts w:ascii="Arial" w:hAnsi="Arial"/>
          <w:b w:val="0"/>
          <w:szCs w:val="24"/>
        </w:rPr>
        <w:t>-04</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683BA3">
        <w:rPr>
          <w:b/>
          <w:sz w:val="20"/>
        </w:rPr>
        <w:t xml:space="preserv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683BA3" w:rsidRPr="00683BA3" w:rsidTr="00683BA3">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292"/>
                  </w:tblGrid>
                  <w:tr w:rsidR="00A914A9" w:rsidRPr="00A914A9" w:rsidTr="00A914A9">
                    <w:trPr>
                      <w:tblCellSpacing w:w="0" w:type="dxa"/>
                      <w:jc w:val="center"/>
                    </w:trPr>
                    <w:tc>
                      <w:tcPr>
                        <w:tcW w:w="0" w:type="auto"/>
                        <w:tcMar>
                          <w:top w:w="150" w:type="dxa"/>
                          <w:left w:w="150" w:type="dxa"/>
                          <w:bottom w:w="150" w:type="dxa"/>
                          <w:right w:w="150" w:type="dxa"/>
                        </w:tcMar>
                        <w:vAlign w:val="center"/>
                        <w:hideMark/>
                      </w:tcPr>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Con fundamento en los artículos 34 fracción XXXIII de la Ley Orgánica de la Administración Pública Federal; 5o. fracción X de la Ley de Comercio Exterior; 5 fracción XVII del Reglamento Interior de la Secretaría de Economía, y</w:t>
                        </w:r>
                      </w:p>
                      <w:p w:rsidR="00A914A9" w:rsidRPr="00A914A9" w:rsidRDefault="00A914A9" w:rsidP="00A914A9">
                        <w:pPr>
                          <w:spacing w:after="66" w:line="240" w:lineRule="auto"/>
                          <w:jc w:val="center"/>
                          <w:rPr>
                            <w:rFonts w:ascii="Times New Roman" w:hAnsi="Times New Roman"/>
                            <w:b/>
                            <w:sz w:val="18"/>
                            <w:szCs w:val="18"/>
                          </w:rPr>
                        </w:pPr>
                        <w:r w:rsidRPr="00A914A9">
                          <w:rPr>
                            <w:rFonts w:ascii="Times" w:hAnsi="Times" w:cs="Times"/>
                            <w:b/>
                            <w:sz w:val="18"/>
                            <w:szCs w:val="18"/>
                          </w:rPr>
                          <w:t>CONSIDERANDO</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Que el Tratado de Libre Comercio entre los Estados Unidos Mexicanos y la República de Colombia, de conformidad con su Artículo 6-20, establece un Comité de Integración Regional de Insumos (CIRI).</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Que mediante la Decisión No. 86 adoptada por la Comisión el 6 de febrero de 2017, se otorgó una dispensa temporal para la utilización de materiales producidos u obtenidos fuera de la zona de libre comercio para que determinados bienes textiles y del vestido recibieran el trato arancelario preferencial establecido en el Tratado.</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Que de conformidad con el Artículo 6-23 del Tratado, el 26 de febrero de 2018, el CIRI presentó un dictamen a la Comisión, en el que determinó prorrogar la dispensa otorgada al insumo de la Decisión No. 86, para la utilización de cierto material producido u obtenido fuera de la zona de libre comercio, en la manufactura de ciertos bienes textiles y del vestido, a fin de que estos bienes puedan recibir el trato arancelario preferencial previsto en el Tratado, y</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Que la Comisión, de conformidad con el Artículo 6-24 del Tratado y tomando en consideración el dictamen presentado por el CIRI, adoptó el 6 de marzo de 2018 la Decisión No. 92, por la que acordó otorgar una prórroga a la dispensa temporal para la utilización de cierto material producido u obtenido fuera de la zona de libre comercio en la manufactura de ciertos bienes textiles y del vestido, para que estos bienes puedan recibir el trato arancelario preferencial del Tratado, se expide el siguiente:</w:t>
                        </w:r>
                      </w:p>
                      <w:p w:rsidR="00A914A9" w:rsidRPr="00A914A9" w:rsidRDefault="00A914A9" w:rsidP="00A914A9">
                        <w:pPr>
                          <w:spacing w:after="66" w:line="240" w:lineRule="auto"/>
                          <w:jc w:val="center"/>
                          <w:rPr>
                            <w:rFonts w:ascii="Times New Roman" w:hAnsi="Times New Roman"/>
                            <w:b/>
                            <w:sz w:val="18"/>
                            <w:szCs w:val="18"/>
                          </w:rPr>
                        </w:pPr>
                        <w:r w:rsidRPr="00A914A9">
                          <w:rPr>
                            <w:rFonts w:ascii="Times" w:hAnsi="Times" w:cs="Times"/>
                            <w:b/>
                            <w:sz w:val="18"/>
                            <w:szCs w:val="18"/>
                          </w:rPr>
                          <w:t>Acuerdo</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b/>
                            <w:bCs/>
                            <w:sz w:val="18"/>
                            <w:szCs w:val="18"/>
                          </w:rPr>
                          <w:t>Único.-</w:t>
                        </w:r>
                        <w:r w:rsidRPr="00A914A9">
                          <w:rPr>
                            <w:rFonts w:ascii="Arial" w:hAnsi="Arial" w:cs="Arial"/>
                            <w:sz w:val="18"/>
                            <w:szCs w:val="18"/>
                          </w:rPr>
                          <w:t xml:space="preserve"> Se da a conocer la Decisión No. 92 de la Comisión Administradora del Tratado de Libre Comercio entre los Estados Unidos Mexicanos y la República de Colombia, por la que se otorga una dispensa temporal para la utilización de cierto material producido u obtenido fuera de la zona de libre comercio para que determinados bienes textiles y del vestido reciban el trato arancelario preferencial establecido en el Tratado de Libre Comercio entre los Estados Unidos Mexicanos y la República de Colombia, adoptada el 6 de marzo de 2018:</w:t>
                        </w:r>
                      </w:p>
                      <w:p w:rsidR="00A914A9" w:rsidRPr="00A914A9" w:rsidRDefault="00A914A9" w:rsidP="00A914A9">
                        <w:pPr>
                          <w:spacing w:after="66" w:line="240" w:lineRule="auto"/>
                          <w:jc w:val="center"/>
                          <w:rPr>
                            <w:rFonts w:ascii="Times New Roman" w:hAnsi="Times New Roman"/>
                            <w:sz w:val="18"/>
                            <w:szCs w:val="18"/>
                          </w:rPr>
                        </w:pPr>
                        <w:r w:rsidRPr="00A914A9">
                          <w:rPr>
                            <w:rFonts w:ascii="Arial" w:hAnsi="Arial" w:cs="Arial"/>
                            <w:sz w:val="18"/>
                            <w:szCs w:val="18"/>
                          </w:rPr>
                          <w:t>"</w:t>
                        </w:r>
                        <w:r w:rsidRPr="00A914A9">
                          <w:rPr>
                            <w:rFonts w:ascii="Arial" w:hAnsi="Arial" w:cs="Arial"/>
                            <w:b/>
                            <w:bCs/>
                            <w:sz w:val="18"/>
                            <w:szCs w:val="18"/>
                          </w:rPr>
                          <w:t>DECISIÓN No. 92</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b/>
                            <w:bCs/>
                            <w:sz w:val="18"/>
                            <w:szCs w:val="18"/>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A914A9" w:rsidRPr="00A914A9" w:rsidRDefault="00A914A9" w:rsidP="00A914A9">
                        <w:pPr>
                          <w:spacing w:after="66" w:line="240" w:lineRule="auto"/>
                          <w:ind w:firstLine="288"/>
                          <w:rPr>
                            <w:rFonts w:ascii="Times New Roman" w:hAnsi="Times New Roman"/>
                            <w:sz w:val="18"/>
                            <w:szCs w:val="18"/>
                          </w:rPr>
                        </w:pPr>
                        <w:r w:rsidRPr="00A914A9">
                          <w:rPr>
                            <w:rFonts w:ascii="Arial" w:hAnsi="Arial" w:cs="Arial"/>
                            <w:sz w:val="18"/>
                            <w:szCs w:val="18"/>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26 de febrero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A914A9" w:rsidRPr="00A914A9" w:rsidRDefault="00A914A9" w:rsidP="00A914A9">
                        <w:pPr>
                          <w:spacing w:after="101" w:line="240" w:lineRule="auto"/>
                          <w:jc w:val="center"/>
                          <w:rPr>
                            <w:rFonts w:ascii="Times New Roman" w:hAnsi="Times New Roman"/>
                            <w:sz w:val="18"/>
                            <w:szCs w:val="18"/>
                          </w:rPr>
                        </w:pPr>
                        <w:r w:rsidRPr="00A914A9">
                          <w:rPr>
                            <w:rFonts w:ascii="Arial" w:hAnsi="Arial" w:cs="Arial"/>
                            <w:b/>
                            <w:bCs/>
                            <w:sz w:val="18"/>
                            <w:szCs w:val="18"/>
                          </w:rPr>
                          <w:t>DECIDE:</w:t>
                        </w:r>
                      </w:p>
                      <w:p w:rsidR="00A914A9" w:rsidRPr="00A914A9" w:rsidRDefault="00A914A9" w:rsidP="00A914A9">
                        <w:pPr>
                          <w:spacing w:after="101" w:line="240" w:lineRule="auto"/>
                          <w:ind w:hanging="432"/>
                          <w:rPr>
                            <w:rFonts w:ascii="Times New Roman" w:hAnsi="Times New Roman"/>
                            <w:sz w:val="18"/>
                            <w:szCs w:val="18"/>
                          </w:rPr>
                        </w:pPr>
                        <w:r w:rsidRPr="00A914A9">
                          <w:rPr>
                            <w:rFonts w:ascii="Arial" w:hAnsi="Arial" w:cs="Arial"/>
                            <w:b/>
                            <w:bCs/>
                            <w:sz w:val="18"/>
                            <w:szCs w:val="18"/>
                          </w:rPr>
                          <w:t>1.</w:t>
                        </w:r>
                        <w:r w:rsidRPr="00A914A9">
                          <w:rPr>
                            <w:rFonts w:ascii="Arial" w:hAnsi="Arial" w:cs="Arial"/>
                            <w:sz w:val="20"/>
                            <w:szCs w:val="20"/>
                          </w:rPr>
                          <w:t>     </w:t>
                        </w:r>
                        <w:r w:rsidRPr="00A914A9">
                          <w:rPr>
                            <w:rFonts w:ascii="Arial" w:hAnsi="Arial" w:cs="Arial"/>
                            <w:sz w:val="18"/>
                            <w:szCs w:val="18"/>
                          </w:rPr>
                          <w:t>Otorgar por el período del 9 de abril de 2018 al 8 de abril de 2019, una prórroga para el insumo de la dispensa temporal adoptada por la Comisión Administradora del Tratado a través de la Decisión No. 86 de fecha 6 de febrero de 2017, mediante la cual los Estados Unidos Mexicanos aplicarán el arancel de importación correspondiente a los bienes originarios previstos en su calendario de desgravación del Anexo 1 al Artículo 3-04 del Tratado a:</w:t>
                        </w:r>
                      </w:p>
                      <w:p w:rsidR="00A914A9" w:rsidRPr="00A914A9" w:rsidRDefault="00A914A9" w:rsidP="00A914A9">
                        <w:pPr>
                          <w:spacing w:after="101" w:line="240" w:lineRule="auto"/>
                          <w:ind w:hanging="432"/>
                          <w:rPr>
                            <w:rFonts w:ascii="Times New Roman" w:hAnsi="Times New Roman"/>
                            <w:sz w:val="18"/>
                            <w:szCs w:val="18"/>
                          </w:rPr>
                        </w:pPr>
                        <w:r w:rsidRPr="00A914A9">
                          <w:rPr>
                            <w:rFonts w:ascii="Symbol" w:hAnsi="Symbol"/>
                            <w:sz w:val="20"/>
                            <w:szCs w:val="20"/>
                          </w:rPr>
                          <w:t></w:t>
                        </w:r>
                        <w:r w:rsidRPr="00A914A9">
                          <w:rPr>
                            <w:rFonts w:ascii="Arial" w:hAnsi="Arial" w:cs="Arial"/>
                            <w:sz w:val="20"/>
                            <w:szCs w:val="20"/>
                          </w:rPr>
                          <w:t>   </w:t>
                        </w:r>
                        <w:r w:rsidRPr="00A914A9">
                          <w:rPr>
                            <w:rFonts w:ascii="Arial" w:hAnsi="Arial" w:cs="Arial"/>
                            <w:sz w:val="18"/>
                            <w:szCs w:val="18"/>
                          </w:rPr>
                          <w:t xml:space="preserve">Ciertos bienes textiles clasificados en las </w:t>
                        </w:r>
                        <w:proofErr w:type="spellStart"/>
                        <w:r w:rsidRPr="00A914A9">
                          <w:rPr>
                            <w:rFonts w:ascii="Arial" w:hAnsi="Arial" w:cs="Arial"/>
                            <w:sz w:val="18"/>
                            <w:szCs w:val="18"/>
                          </w:rPr>
                          <w:t>subpartidas</w:t>
                        </w:r>
                        <w:proofErr w:type="spellEnd"/>
                        <w:r w:rsidRPr="00A914A9">
                          <w:rPr>
                            <w:rFonts w:ascii="Arial" w:hAnsi="Arial" w:cs="Arial"/>
                            <w:sz w:val="18"/>
                            <w:szCs w:val="18"/>
                          </w:rPr>
                          <w:t xml:space="preserve"> del Sistema Armonizado de Designación y </w:t>
                        </w:r>
                      </w:p>
                      <w:p w:rsidR="00A914A9" w:rsidRPr="00A914A9" w:rsidRDefault="00A914A9" w:rsidP="00A914A9">
                        <w:pPr>
                          <w:spacing w:after="101" w:line="240" w:lineRule="auto"/>
                          <w:rPr>
                            <w:rFonts w:ascii="Times New Roman" w:hAnsi="Times New Roman"/>
                            <w:sz w:val="18"/>
                            <w:szCs w:val="18"/>
                          </w:rPr>
                        </w:pPr>
                        <w:r w:rsidRPr="00A914A9">
                          <w:rPr>
                            <w:rFonts w:ascii="Arial" w:hAnsi="Arial" w:cs="Arial"/>
                            <w:sz w:val="18"/>
                            <w:szCs w:val="18"/>
                          </w:rPr>
                          <w:t>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de esta Decisión; y que cumplan con los demás requisitos establecidos en la regla de origen correspondiente, así como con las demás condiciones aplicables para el trato arancelario preferencial de conformidad con el Tratado.</w:t>
                        </w:r>
                      </w:p>
                      <w:p w:rsidR="00A914A9" w:rsidRPr="00A914A9" w:rsidRDefault="00A914A9" w:rsidP="00A914A9">
                        <w:pPr>
                          <w:spacing w:after="101" w:line="240" w:lineRule="auto"/>
                          <w:ind w:hanging="432"/>
                          <w:rPr>
                            <w:rFonts w:ascii="Times New Roman" w:hAnsi="Times New Roman"/>
                            <w:sz w:val="18"/>
                            <w:szCs w:val="18"/>
                          </w:rPr>
                        </w:pPr>
                        <w:r w:rsidRPr="00A914A9">
                          <w:rPr>
                            <w:rFonts w:ascii="Arial" w:hAnsi="Arial" w:cs="Arial"/>
                            <w:b/>
                            <w:bCs/>
                            <w:sz w:val="18"/>
                            <w:szCs w:val="18"/>
                          </w:rPr>
                          <w:t>2.</w:t>
                        </w:r>
                        <w:r w:rsidRPr="00A914A9">
                          <w:rPr>
                            <w:rFonts w:ascii="Arial" w:hAnsi="Arial" w:cs="Arial"/>
                            <w:sz w:val="20"/>
                            <w:szCs w:val="20"/>
                          </w:rPr>
                          <w:t>     </w:t>
                        </w:r>
                        <w:r w:rsidRPr="00A914A9">
                          <w:rPr>
                            <w:rFonts w:ascii="Arial" w:hAnsi="Arial" w:cs="Arial"/>
                            <w:sz w:val="18"/>
                            <w:szCs w:val="18"/>
                          </w:rPr>
                          <w:t>Los bienes descritos en el párrafo 1 de esta Decisión quedan sujetos a los mecanismos de verificación y certificación del Capítulo VII del Tratado.</w:t>
                        </w:r>
                      </w:p>
                      <w:p w:rsidR="00A914A9" w:rsidRPr="00A914A9" w:rsidRDefault="00A914A9" w:rsidP="00A914A9">
                        <w:pPr>
                          <w:spacing w:after="101" w:line="240" w:lineRule="auto"/>
                          <w:ind w:hanging="432"/>
                          <w:rPr>
                            <w:rFonts w:ascii="Times New Roman" w:hAnsi="Times New Roman"/>
                            <w:sz w:val="18"/>
                            <w:szCs w:val="18"/>
                          </w:rPr>
                        </w:pPr>
                        <w:r w:rsidRPr="00A914A9">
                          <w:rPr>
                            <w:rFonts w:ascii="Arial" w:hAnsi="Arial" w:cs="Arial"/>
                            <w:b/>
                            <w:bCs/>
                            <w:sz w:val="18"/>
                            <w:szCs w:val="18"/>
                          </w:rPr>
                          <w:t>3.</w:t>
                        </w:r>
                        <w:r w:rsidRPr="00A914A9">
                          <w:rPr>
                            <w:rFonts w:ascii="Arial" w:hAnsi="Arial" w:cs="Arial"/>
                            <w:sz w:val="20"/>
                            <w:szCs w:val="20"/>
                          </w:rPr>
                          <w:t>     </w:t>
                        </w:r>
                        <w:r w:rsidRPr="00A914A9">
                          <w:rPr>
                            <w:rFonts w:ascii="Arial" w:hAnsi="Arial" w:cs="Arial"/>
                            <w:sz w:val="18"/>
                            <w:szCs w:val="18"/>
                          </w:rPr>
                          <w:t>En la República de Colombia se podrá utilizar el material que se describe en esta Decisión, producido u obtenido fuera de la zona de libre comercio en la cantidad máxima señalada en la columna C de la siguiente Tabla.</w:t>
                        </w:r>
                      </w:p>
                      <w:p w:rsidR="00A914A9" w:rsidRPr="00A914A9" w:rsidRDefault="00A914A9" w:rsidP="00A914A9">
                        <w:pPr>
                          <w:spacing w:after="101" w:line="240" w:lineRule="auto"/>
                          <w:jc w:val="center"/>
                          <w:rPr>
                            <w:rFonts w:ascii="Times New Roman" w:hAnsi="Times New Roman"/>
                            <w:sz w:val="18"/>
                            <w:szCs w:val="18"/>
                          </w:rPr>
                        </w:pPr>
                        <w:r w:rsidRPr="00A914A9">
                          <w:rPr>
                            <w:rFonts w:ascii="Arial" w:hAnsi="Arial" w:cs="Arial"/>
                            <w:b/>
                            <w:bCs/>
                            <w:sz w:val="18"/>
                            <w:szCs w:val="18"/>
                          </w:rPr>
                          <w:t>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22"/>
                          <w:gridCol w:w="3729"/>
                          <w:gridCol w:w="1551"/>
                        </w:tblGrid>
                        <w:tr w:rsidR="00A914A9" w:rsidRPr="00A914A9" w:rsidTr="00A914A9">
                          <w:trPr>
                            <w:trHeight w:val="548"/>
                          </w:trPr>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b/>
                                  <w:bCs/>
                                  <w:color w:val="000000"/>
                                  <w:sz w:val="16"/>
                                  <w:szCs w:val="16"/>
                                </w:rPr>
                                <w:t>Fracción Arancelaria</w:t>
                              </w:r>
                              <w:r w:rsidRPr="00A914A9">
                                <w:rPr>
                                  <w:rFonts w:ascii="Times New Roman" w:hAnsi="Times New Roman"/>
                                  <w:color w:val="000000"/>
                                  <w:sz w:val="16"/>
                                  <w:szCs w:val="16"/>
                                </w:rPr>
                                <w:br/>
                              </w:r>
                              <w:r w:rsidRPr="00A914A9">
                                <w:rPr>
                                  <w:rFonts w:ascii="Arial" w:hAnsi="Arial" w:cs="Arial"/>
                                  <w:b/>
                                  <w:bCs/>
                                  <w:color w:val="000000"/>
                                  <w:sz w:val="16"/>
                                  <w:szCs w:val="16"/>
                                </w:rPr>
                                <w:t>en Colombia (Insumo)</w:t>
                              </w:r>
                            </w:p>
                          </w:tc>
                          <w:tc>
                            <w:tcPr>
                              <w:tcW w:w="4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b/>
                                  <w:bCs/>
                                  <w:color w:val="000000"/>
                                  <w:sz w:val="16"/>
                                  <w:szCs w:val="16"/>
                                </w:rPr>
                                <w:t>Descripción / Observaciones</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b/>
                                  <w:bCs/>
                                  <w:color w:val="000000"/>
                                  <w:sz w:val="16"/>
                                  <w:szCs w:val="16"/>
                                </w:rPr>
                                <w:t>Cantidad</w:t>
                              </w:r>
                              <w:r w:rsidRPr="00A914A9">
                                <w:rPr>
                                  <w:rFonts w:ascii="Times New Roman" w:hAnsi="Times New Roman"/>
                                  <w:color w:val="000000"/>
                                  <w:sz w:val="16"/>
                                  <w:szCs w:val="16"/>
                                </w:rPr>
                                <w:br/>
                              </w:r>
                              <w:r w:rsidRPr="00A914A9">
                                <w:rPr>
                                  <w:rFonts w:ascii="Arial" w:hAnsi="Arial" w:cs="Arial"/>
                                  <w:b/>
                                  <w:bCs/>
                                  <w:color w:val="000000"/>
                                  <w:sz w:val="16"/>
                                  <w:szCs w:val="16"/>
                                </w:rPr>
                                <w:t>(Kilogramos Netos)</w:t>
                              </w:r>
                            </w:p>
                          </w:tc>
                        </w:tr>
                        <w:tr w:rsidR="00A914A9" w:rsidRPr="00A914A9" w:rsidTr="00A914A9">
                          <w:trPr>
                            <w:trHeight w:val="317"/>
                          </w:trPr>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color w:val="000000"/>
                                  <w:sz w:val="16"/>
                                  <w:szCs w:val="16"/>
                                </w:rPr>
                                <w:t>(A)</w:t>
                              </w:r>
                            </w:p>
                          </w:tc>
                          <w:tc>
                            <w:tcPr>
                              <w:tcW w:w="4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color w:val="000000"/>
                                  <w:sz w:val="16"/>
                                  <w:szCs w:val="16"/>
                                </w:rPr>
                                <w:t>(B)</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color w:val="000000"/>
                                  <w:sz w:val="16"/>
                                  <w:szCs w:val="16"/>
                                </w:rPr>
                                <w:t>(C)</w:t>
                              </w:r>
                            </w:p>
                          </w:tc>
                        </w:tr>
                        <w:tr w:rsidR="00A914A9" w:rsidRPr="00A914A9" w:rsidTr="00A914A9">
                          <w:trPr>
                            <w:trHeight w:val="965"/>
                          </w:trPr>
                          <w:tc>
                            <w:tcPr>
                              <w:tcW w:w="194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color w:val="000000"/>
                                  <w:sz w:val="16"/>
                                  <w:szCs w:val="16"/>
                                </w:rPr>
                                <w:t>5402.33.00</w:t>
                              </w:r>
                            </w:p>
                          </w:tc>
                          <w:tc>
                            <w:tcPr>
                              <w:tcW w:w="4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rPr>
                                  <w:rFonts w:ascii="Times New Roman" w:hAnsi="Times New Roman"/>
                                  <w:color w:val="000000"/>
                                  <w:sz w:val="16"/>
                                  <w:szCs w:val="16"/>
                                </w:rPr>
                              </w:pPr>
                              <w:r w:rsidRPr="00A914A9">
                                <w:rPr>
                                  <w:rFonts w:ascii="Arial" w:hAnsi="Arial" w:cs="Arial"/>
                                  <w:b/>
                                  <w:bCs/>
                                  <w:color w:val="000000"/>
                                  <w:sz w:val="16"/>
                                  <w:szCs w:val="16"/>
                                </w:rPr>
                                <w:t xml:space="preserve">Hilados de filamentos sintéticos (excepto el hilo de coser) sin acondicionar para la venta al por menor, incluidos los monofilamentos sintéticos de título inferior a 67 decitex. Hilados </w:t>
                              </w:r>
                              <w:proofErr w:type="spellStart"/>
                              <w:r w:rsidRPr="00A914A9">
                                <w:rPr>
                                  <w:rFonts w:ascii="Arial" w:hAnsi="Arial" w:cs="Arial"/>
                                  <w:b/>
                                  <w:bCs/>
                                  <w:color w:val="000000"/>
                                  <w:sz w:val="16"/>
                                  <w:szCs w:val="16"/>
                                </w:rPr>
                                <w:t>texturados</w:t>
                              </w:r>
                              <w:proofErr w:type="spellEnd"/>
                              <w:r w:rsidRPr="00A914A9">
                                <w:rPr>
                                  <w:rFonts w:ascii="Arial" w:hAnsi="Arial" w:cs="Arial"/>
                                  <w:b/>
                                  <w:bCs/>
                                  <w:color w:val="000000"/>
                                  <w:sz w:val="16"/>
                                  <w:szCs w:val="16"/>
                                </w:rPr>
                                <w:t>: De poliésteres.</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24"/>
                                  <w:szCs w:val="24"/>
                                </w:rPr>
                              </w:pPr>
                              <w:r w:rsidRPr="00A914A9">
                                <w:rPr>
                                  <w:rFonts w:ascii="Times New Roman" w:hAnsi="Times New Roman"/>
                                  <w:color w:val="000000"/>
                                  <w:sz w:val="24"/>
                                  <w:szCs w:val="24"/>
                                </w:rPr>
                                <w:t> </w:t>
                              </w:r>
                            </w:p>
                          </w:tc>
                        </w:tr>
                        <w:tr w:rsidR="00A914A9" w:rsidRPr="00A914A9" w:rsidTr="00A914A9">
                          <w:trPr>
                            <w:trHeight w:val="533"/>
                          </w:trPr>
                          <w:tc>
                            <w:tcPr>
                              <w:tcW w:w="0" w:type="auto"/>
                              <w:vMerge/>
                              <w:tcBorders>
                                <w:top w:val="single" w:sz="6" w:space="0" w:color="000000"/>
                                <w:left w:val="single" w:sz="6" w:space="0" w:color="000000"/>
                                <w:right w:val="single" w:sz="6" w:space="0" w:color="000000"/>
                              </w:tcBorders>
                              <w:vAlign w:val="center"/>
                              <w:hideMark/>
                            </w:tcPr>
                            <w:p w:rsidR="00A914A9" w:rsidRPr="00A914A9" w:rsidRDefault="00A914A9" w:rsidP="00A914A9">
                              <w:pPr>
                                <w:spacing w:after="0" w:line="240" w:lineRule="auto"/>
                                <w:rPr>
                                  <w:rFonts w:ascii="Times New Roman" w:hAnsi="Times New Roman"/>
                                  <w:color w:val="000000"/>
                                  <w:sz w:val="16"/>
                                  <w:szCs w:val="16"/>
                                </w:rPr>
                              </w:pPr>
                            </w:p>
                          </w:tc>
                          <w:tc>
                            <w:tcPr>
                              <w:tcW w:w="4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14A9" w:rsidRPr="00A914A9" w:rsidRDefault="00A914A9" w:rsidP="00A914A9">
                              <w:pPr>
                                <w:spacing w:after="101" w:line="240" w:lineRule="auto"/>
                                <w:ind w:hanging="432"/>
                                <w:rPr>
                                  <w:rFonts w:ascii="Times New Roman" w:hAnsi="Times New Roman"/>
                                  <w:color w:val="000000"/>
                                  <w:sz w:val="16"/>
                                  <w:szCs w:val="16"/>
                                </w:rPr>
                              </w:pPr>
                              <w:r w:rsidRPr="00A914A9">
                                <w:rPr>
                                  <w:rFonts w:ascii="Arial" w:hAnsi="Arial" w:cs="Arial"/>
                                  <w:color w:val="000000"/>
                                  <w:sz w:val="16"/>
                                  <w:szCs w:val="16"/>
                                </w:rPr>
                                <w:t>1.</w:t>
                              </w:r>
                              <w:r w:rsidRPr="00A914A9">
                                <w:rPr>
                                  <w:rFonts w:ascii="Arial" w:hAnsi="Arial" w:cs="Arial"/>
                                  <w:color w:val="000000"/>
                                  <w:sz w:val="20"/>
                                  <w:szCs w:val="20"/>
                                </w:rPr>
                                <w:t>     </w:t>
                              </w:r>
                              <w:r w:rsidRPr="00A914A9">
                                <w:rPr>
                                  <w:rFonts w:ascii="Arial" w:hAnsi="Arial" w:cs="Arial"/>
                                  <w:color w:val="000000"/>
                                  <w:sz w:val="16"/>
                                  <w:szCs w:val="16"/>
                                </w:rPr>
                                <w:t xml:space="preserve">Poliéster 100% con Poli </w:t>
                              </w:r>
                              <w:proofErr w:type="spellStart"/>
                              <w:r w:rsidRPr="00A914A9">
                                <w:rPr>
                                  <w:rFonts w:ascii="Arial" w:hAnsi="Arial" w:cs="Arial"/>
                                  <w:color w:val="000000"/>
                                  <w:sz w:val="16"/>
                                  <w:szCs w:val="16"/>
                                </w:rPr>
                                <w:t>Butilen</w:t>
                              </w:r>
                              <w:proofErr w:type="spellEnd"/>
                              <w:r w:rsidRPr="00A914A9">
                                <w:rPr>
                                  <w:rFonts w:ascii="Arial" w:hAnsi="Arial" w:cs="Arial"/>
                                  <w:color w:val="000000"/>
                                  <w:sz w:val="16"/>
                                  <w:szCs w:val="16"/>
                                </w:rPr>
                                <w:t xml:space="preserve"> </w:t>
                              </w:r>
                              <w:proofErr w:type="spellStart"/>
                              <w:r w:rsidRPr="00A914A9">
                                <w:rPr>
                                  <w:rFonts w:ascii="Arial" w:hAnsi="Arial" w:cs="Arial"/>
                                  <w:color w:val="000000"/>
                                  <w:sz w:val="16"/>
                                  <w:szCs w:val="16"/>
                                </w:rPr>
                                <w:t>Tereftalato</w:t>
                              </w:r>
                              <w:proofErr w:type="spellEnd"/>
                              <w:r w:rsidRPr="00A914A9">
                                <w:rPr>
                                  <w:rFonts w:ascii="Arial" w:hAnsi="Arial" w:cs="Arial"/>
                                  <w:color w:val="000000"/>
                                  <w:sz w:val="16"/>
                                  <w:szCs w:val="16"/>
                                </w:rPr>
                                <w:t xml:space="preserve"> (PBT), 55 </w:t>
                              </w:r>
                              <w:proofErr w:type="spellStart"/>
                              <w:r w:rsidRPr="00A914A9">
                                <w:rPr>
                                  <w:rFonts w:ascii="Arial" w:hAnsi="Arial" w:cs="Arial"/>
                                  <w:color w:val="000000"/>
                                  <w:sz w:val="16"/>
                                  <w:szCs w:val="16"/>
                                </w:rPr>
                                <w:t>Dx</w:t>
                              </w:r>
                              <w:proofErr w:type="spellEnd"/>
                              <w:r w:rsidRPr="00A914A9">
                                <w:rPr>
                                  <w:rFonts w:ascii="Arial" w:hAnsi="Arial" w:cs="Arial"/>
                                  <w:color w:val="000000"/>
                                  <w:sz w:val="16"/>
                                  <w:szCs w:val="16"/>
                                </w:rPr>
                                <w:t>, 24 filamentos, 1 cabo, brillante, crudo.</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color w:val="000000"/>
                                  <w:sz w:val="16"/>
                                  <w:szCs w:val="16"/>
                                </w:rPr>
                                <w:t>1,987</w:t>
                              </w:r>
                            </w:p>
                          </w:tc>
                        </w:tr>
                        <w:tr w:rsidR="00A914A9" w:rsidRPr="00A914A9" w:rsidTr="00A914A9">
                          <w:trPr>
                            <w:trHeight w:val="332"/>
                          </w:trPr>
                          <w:tc>
                            <w:tcPr>
                              <w:tcW w:w="0" w:type="auto"/>
                              <w:vMerge/>
                              <w:tcBorders>
                                <w:top w:val="single" w:sz="6" w:space="0" w:color="000000"/>
                                <w:left w:val="single" w:sz="6" w:space="0" w:color="000000"/>
                                <w:right w:val="single" w:sz="6" w:space="0" w:color="000000"/>
                              </w:tcBorders>
                              <w:vAlign w:val="center"/>
                              <w:hideMark/>
                            </w:tcPr>
                            <w:p w:rsidR="00A914A9" w:rsidRPr="00A914A9" w:rsidRDefault="00A914A9" w:rsidP="00A914A9">
                              <w:pPr>
                                <w:spacing w:after="0" w:line="240" w:lineRule="auto"/>
                                <w:rPr>
                                  <w:rFonts w:ascii="Times New Roman" w:hAnsi="Times New Roman"/>
                                  <w:color w:val="000000"/>
                                  <w:sz w:val="16"/>
                                  <w:szCs w:val="16"/>
                                </w:rPr>
                              </w:pPr>
                            </w:p>
                          </w:tc>
                          <w:tc>
                            <w:tcPr>
                              <w:tcW w:w="4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14A9" w:rsidRPr="00A914A9" w:rsidRDefault="00A914A9" w:rsidP="00A914A9">
                              <w:pPr>
                                <w:spacing w:after="101" w:line="240" w:lineRule="auto"/>
                                <w:rPr>
                                  <w:rFonts w:ascii="Times New Roman" w:hAnsi="Times New Roman"/>
                                  <w:color w:val="000000"/>
                                  <w:sz w:val="16"/>
                                  <w:szCs w:val="16"/>
                                </w:rPr>
                              </w:pPr>
                              <w:r w:rsidRPr="00A914A9">
                                <w:rPr>
                                  <w:rFonts w:ascii="Arial" w:hAnsi="Arial" w:cs="Arial"/>
                                  <w:b/>
                                  <w:bCs/>
                                  <w:color w:val="000000"/>
                                  <w:sz w:val="16"/>
                                  <w:szCs w:val="16"/>
                                </w:rPr>
                                <w:t>Total</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914A9" w:rsidRPr="00A914A9" w:rsidRDefault="00A914A9" w:rsidP="00A914A9">
                              <w:pPr>
                                <w:spacing w:after="101" w:line="240" w:lineRule="auto"/>
                                <w:jc w:val="center"/>
                                <w:rPr>
                                  <w:rFonts w:ascii="Times New Roman" w:hAnsi="Times New Roman"/>
                                  <w:color w:val="000000"/>
                                  <w:sz w:val="16"/>
                                  <w:szCs w:val="16"/>
                                </w:rPr>
                              </w:pPr>
                              <w:r w:rsidRPr="00A914A9">
                                <w:rPr>
                                  <w:rFonts w:ascii="Arial" w:hAnsi="Arial" w:cs="Arial"/>
                                  <w:b/>
                                  <w:bCs/>
                                  <w:color w:val="000000"/>
                                  <w:sz w:val="16"/>
                                  <w:szCs w:val="16"/>
                                </w:rPr>
                                <w:t>1,987</w:t>
                              </w:r>
                            </w:p>
                          </w:tc>
                        </w:tr>
                      </w:tbl>
                      <w:p w:rsidR="00A914A9" w:rsidRPr="00A914A9" w:rsidRDefault="00A914A9" w:rsidP="00A914A9">
                        <w:pPr>
                          <w:spacing w:after="101" w:line="240" w:lineRule="auto"/>
                          <w:ind w:firstLine="288"/>
                          <w:rPr>
                            <w:rFonts w:ascii="Times New Roman" w:hAnsi="Times New Roman"/>
                            <w:sz w:val="18"/>
                            <w:szCs w:val="18"/>
                          </w:rPr>
                        </w:pPr>
                        <w:r w:rsidRPr="00A914A9">
                          <w:rPr>
                            <w:rFonts w:ascii="Times New Roman" w:hAnsi="Times New Roman"/>
                            <w:sz w:val="18"/>
                            <w:szCs w:val="18"/>
                          </w:rPr>
                          <w:t> </w:t>
                        </w:r>
                      </w:p>
                      <w:p w:rsidR="00A914A9" w:rsidRPr="00A914A9" w:rsidRDefault="00A914A9" w:rsidP="00A914A9">
                        <w:pPr>
                          <w:spacing w:after="101" w:line="240" w:lineRule="auto"/>
                          <w:ind w:hanging="432"/>
                          <w:rPr>
                            <w:rFonts w:ascii="Times New Roman" w:hAnsi="Times New Roman"/>
                            <w:sz w:val="18"/>
                            <w:szCs w:val="18"/>
                          </w:rPr>
                        </w:pPr>
                        <w:r w:rsidRPr="00A914A9">
                          <w:rPr>
                            <w:rFonts w:ascii="Arial" w:hAnsi="Arial" w:cs="Arial"/>
                            <w:b/>
                            <w:bCs/>
                            <w:sz w:val="18"/>
                            <w:szCs w:val="18"/>
                          </w:rPr>
                          <w:t>4.</w:t>
                        </w:r>
                        <w:r w:rsidRPr="00A914A9">
                          <w:rPr>
                            <w:rFonts w:ascii="Arial" w:hAnsi="Arial" w:cs="Arial"/>
                            <w:sz w:val="20"/>
                            <w:szCs w:val="20"/>
                          </w:rPr>
                          <w:t>     </w:t>
                        </w:r>
                        <w:r w:rsidRPr="00A914A9">
                          <w:rPr>
                            <w:rFonts w:ascii="Arial" w:hAnsi="Arial" w:cs="Arial"/>
                            <w:sz w:val="18"/>
                            <w:szCs w:val="18"/>
                          </w:rPr>
                          <w:t xml:space="preserve">La autoridad competente de la República de Colombia deberá asegurar que el certificado de origen, llenado y firmado por el exportador, indique en el campo de observaciones la siguiente frase: "el bien cumple con lo establecido en la Decisión No. </w:t>
                        </w:r>
                        <w:r w:rsidRPr="00A914A9">
                          <w:rPr>
                            <w:rFonts w:ascii="Arial" w:hAnsi="Arial" w:cs="Arial"/>
                            <w:sz w:val="18"/>
                            <w:szCs w:val="18"/>
                            <w:u w:val="single"/>
                          </w:rPr>
                          <w:t>92</w:t>
                        </w:r>
                        <w:r w:rsidRPr="00A914A9">
                          <w:rPr>
                            <w:rFonts w:ascii="Arial" w:hAnsi="Arial" w:cs="Arial"/>
                            <w:sz w:val="18"/>
                            <w:szCs w:val="18"/>
                          </w:rPr>
                          <w:t xml:space="preserve"> de la Comisión Administradora del Tratado y utilizó (monto(s)) </w:t>
                        </w:r>
                        <w:proofErr w:type="spellStart"/>
                        <w:r w:rsidRPr="00A914A9">
                          <w:rPr>
                            <w:rFonts w:ascii="Arial" w:hAnsi="Arial" w:cs="Arial"/>
                            <w:sz w:val="18"/>
                            <w:szCs w:val="18"/>
                          </w:rPr>
                          <w:t>kgs</w:t>
                        </w:r>
                        <w:proofErr w:type="spellEnd"/>
                        <w:r w:rsidRPr="00A914A9">
                          <w:rPr>
                            <w:rFonts w:ascii="Arial" w:hAnsi="Arial" w:cs="Arial"/>
                            <w:sz w:val="18"/>
                            <w:szCs w:val="18"/>
                          </w:rPr>
                          <w:t>. de la dispensa otorgada a (nombre del (de los) material(es) utilizado(s)), clasificado(s) en la fracción (fracciones) arancelaria(s) _______."</w:t>
                        </w:r>
                      </w:p>
                      <w:p w:rsidR="00A914A9" w:rsidRPr="00A914A9" w:rsidRDefault="00A914A9" w:rsidP="00A914A9">
                        <w:pPr>
                          <w:spacing w:after="101" w:line="240" w:lineRule="auto"/>
                          <w:ind w:hanging="432"/>
                          <w:rPr>
                            <w:rFonts w:ascii="Times New Roman" w:hAnsi="Times New Roman"/>
                            <w:sz w:val="18"/>
                            <w:szCs w:val="18"/>
                          </w:rPr>
                        </w:pPr>
                        <w:r w:rsidRPr="00A914A9">
                          <w:rPr>
                            <w:rFonts w:ascii="Arial" w:hAnsi="Arial" w:cs="Arial"/>
                            <w:b/>
                            <w:bCs/>
                            <w:sz w:val="18"/>
                            <w:szCs w:val="18"/>
                          </w:rPr>
                          <w:t>5.</w:t>
                        </w:r>
                        <w:r w:rsidRPr="00A914A9">
                          <w:rPr>
                            <w:rFonts w:ascii="Arial" w:hAnsi="Arial" w:cs="Arial"/>
                            <w:sz w:val="20"/>
                            <w:szCs w:val="20"/>
                          </w:rPr>
                          <w:t>     </w:t>
                        </w:r>
                        <w:r w:rsidRPr="00A914A9">
                          <w:rPr>
                            <w:rFonts w:ascii="Arial" w:hAnsi="Arial" w:cs="Arial"/>
                            <w:sz w:val="18"/>
                            <w:szCs w:val="18"/>
                          </w:rPr>
                          <w:t xml:space="preserve">Para los productos que se beneficien de la dispensa establecida en la presente Decisión, el certificado de origen deberá amparar sólo productos clasificados en una misma </w:t>
                        </w:r>
                        <w:proofErr w:type="spellStart"/>
                        <w:r w:rsidRPr="00A914A9">
                          <w:rPr>
                            <w:rFonts w:ascii="Arial" w:hAnsi="Arial" w:cs="Arial"/>
                            <w:sz w:val="18"/>
                            <w:szCs w:val="18"/>
                          </w:rPr>
                          <w:t>subpartida</w:t>
                        </w:r>
                        <w:proofErr w:type="spellEnd"/>
                        <w:r w:rsidRPr="00A914A9">
                          <w:rPr>
                            <w:rFonts w:ascii="Arial" w:hAnsi="Arial" w:cs="Arial"/>
                            <w:sz w:val="18"/>
                            <w:szCs w:val="18"/>
                          </w:rPr>
                          <w:t xml:space="preserve"> (a nivel de 6 dígitos). Por ello, si un exportador envía productos clasificados en diferentes </w:t>
                        </w:r>
                        <w:proofErr w:type="spellStart"/>
                        <w:r w:rsidRPr="00A914A9">
                          <w:rPr>
                            <w:rFonts w:ascii="Arial" w:hAnsi="Arial" w:cs="Arial"/>
                            <w:sz w:val="18"/>
                            <w:szCs w:val="18"/>
                          </w:rPr>
                          <w:t>subpartidas</w:t>
                        </w:r>
                        <w:proofErr w:type="spellEnd"/>
                        <w:r w:rsidRPr="00A914A9">
                          <w:rPr>
                            <w:rFonts w:ascii="Arial" w:hAnsi="Arial" w:cs="Arial"/>
                            <w:sz w:val="18"/>
                            <w:szCs w:val="18"/>
                          </w:rPr>
                          <w:t>, éste deberá llenar un certificado para cada una de ellas.</w:t>
                        </w:r>
                      </w:p>
                      <w:p w:rsidR="00A914A9" w:rsidRPr="00A914A9" w:rsidRDefault="00A914A9" w:rsidP="00A914A9">
                        <w:pPr>
                          <w:spacing w:after="101" w:line="240" w:lineRule="auto"/>
                          <w:ind w:hanging="432"/>
                          <w:rPr>
                            <w:rFonts w:ascii="Times New Roman" w:hAnsi="Times New Roman"/>
                            <w:sz w:val="18"/>
                            <w:szCs w:val="18"/>
                          </w:rPr>
                        </w:pPr>
                        <w:r w:rsidRPr="00A914A9">
                          <w:rPr>
                            <w:rFonts w:ascii="Arial" w:hAnsi="Arial" w:cs="Arial"/>
                            <w:b/>
                            <w:bCs/>
                            <w:sz w:val="18"/>
                            <w:szCs w:val="18"/>
                          </w:rPr>
                          <w:t>6.</w:t>
                        </w:r>
                        <w:r w:rsidRPr="00A914A9">
                          <w:rPr>
                            <w:rFonts w:ascii="Arial" w:hAnsi="Arial" w:cs="Arial"/>
                            <w:sz w:val="20"/>
                            <w:szCs w:val="20"/>
                          </w:rPr>
                          <w:t>     </w:t>
                        </w:r>
                        <w:r w:rsidRPr="00A914A9">
                          <w:rPr>
                            <w:rFonts w:ascii="Arial" w:hAnsi="Arial" w:cs="Arial"/>
                            <w:sz w:val="18"/>
                            <w:szCs w:val="18"/>
                          </w:rPr>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A914A9" w:rsidRPr="00A914A9" w:rsidRDefault="00A914A9" w:rsidP="00A914A9">
                        <w:pPr>
                          <w:spacing w:after="101" w:line="240" w:lineRule="auto"/>
                          <w:ind w:hanging="432"/>
                          <w:rPr>
                            <w:rFonts w:ascii="Times New Roman" w:hAnsi="Times New Roman"/>
                            <w:sz w:val="18"/>
                            <w:szCs w:val="18"/>
                          </w:rPr>
                        </w:pPr>
                        <w:r w:rsidRPr="00A914A9">
                          <w:rPr>
                            <w:rFonts w:ascii="Arial" w:hAnsi="Arial" w:cs="Arial"/>
                            <w:b/>
                            <w:bCs/>
                            <w:sz w:val="18"/>
                            <w:szCs w:val="18"/>
                          </w:rPr>
                          <w:t>7.</w:t>
                        </w:r>
                        <w:r w:rsidRPr="00A914A9">
                          <w:rPr>
                            <w:rFonts w:ascii="Arial" w:hAnsi="Arial" w:cs="Arial"/>
                            <w:sz w:val="20"/>
                            <w:szCs w:val="20"/>
                          </w:rPr>
                          <w:t>     </w:t>
                        </w:r>
                        <w:r w:rsidRPr="00A914A9">
                          <w:rPr>
                            <w:rFonts w:ascii="Arial" w:hAnsi="Arial" w:cs="Arial"/>
                            <w:sz w:val="18"/>
                            <w:szCs w:val="18"/>
                          </w:rPr>
                          <w:t>Cualquier solicitud de prórroga o aumento al monto determinado para el material descrito en la Tabla de esta Decisión, se efectuará conforme a lo dispuesto en el Tratado y al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A914A9" w:rsidRPr="00A914A9" w:rsidRDefault="00A914A9" w:rsidP="00A914A9">
                        <w:pPr>
                          <w:spacing w:after="101" w:line="240" w:lineRule="auto"/>
                          <w:jc w:val="center"/>
                          <w:rPr>
                            <w:rFonts w:ascii="Times New Roman" w:hAnsi="Times New Roman"/>
                            <w:b/>
                            <w:sz w:val="18"/>
                            <w:szCs w:val="18"/>
                          </w:rPr>
                        </w:pPr>
                        <w:r w:rsidRPr="00A914A9">
                          <w:rPr>
                            <w:rFonts w:ascii="Times" w:hAnsi="Times" w:cs="Times"/>
                            <w:b/>
                            <w:sz w:val="18"/>
                            <w:szCs w:val="18"/>
                          </w:rPr>
                          <w:t>TRANSITORIOS</w:t>
                        </w:r>
                      </w:p>
                      <w:p w:rsidR="00A914A9" w:rsidRPr="00A914A9" w:rsidRDefault="00A914A9" w:rsidP="00A914A9">
                        <w:pPr>
                          <w:spacing w:after="101" w:line="240" w:lineRule="auto"/>
                          <w:ind w:firstLine="288"/>
                          <w:rPr>
                            <w:rFonts w:ascii="Times New Roman" w:hAnsi="Times New Roman"/>
                            <w:sz w:val="18"/>
                            <w:szCs w:val="18"/>
                          </w:rPr>
                        </w:pPr>
                        <w:proofErr w:type="gramStart"/>
                        <w:r w:rsidRPr="00A914A9">
                          <w:rPr>
                            <w:rFonts w:ascii="Arial" w:hAnsi="Arial" w:cs="Arial"/>
                            <w:b/>
                            <w:bCs/>
                            <w:sz w:val="18"/>
                            <w:szCs w:val="18"/>
                          </w:rPr>
                          <w:t>PRIMERO.-</w:t>
                        </w:r>
                        <w:proofErr w:type="gramEnd"/>
                        <w:r w:rsidRPr="00A914A9">
                          <w:rPr>
                            <w:rFonts w:ascii="Arial" w:hAnsi="Arial" w:cs="Arial"/>
                            <w:b/>
                            <w:bCs/>
                            <w:sz w:val="18"/>
                            <w:szCs w:val="18"/>
                          </w:rPr>
                          <w:t xml:space="preserve"> </w:t>
                        </w:r>
                        <w:r w:rsidRPr="00A914A9">
                          <w:rPr>
                            <w:rFonts w:ascii="Arial" w:hAnsi="Arial" w:cs="Arial"/>
                            <w:sz w:val="18"/>
                            <w:szCs w:val="18"/>
                          </w:rPr>
                          <w:t>El presente Acuerdo entrará en vigor el día siguiente al de su publicación en el Diario Oficial de la Federación.</w:t>
                        </w:r>
                      </w:p>
                      <w:p w:rsidR="00A914A9" w:rsidRPr="00A914A9" w:rsidRDefault="00A914A9" w:rsidP="00A914A9">
                        <w:pPr>
                          <w:spacing w:after="101" w:line="240" w:lineRule="auto"/>
                          <w:ind w:firstLine="288"/>
                          <w:rPr>
                            <w:rFonts w:ascii="Times New Roman" w:hAnsi="Times New Roman"/>
                            <w:sz w:val="18"/>
                            <w:szCs w:val="18"/>
                          </w:rPr>
                        </w:pPr>
                        <w:proofErr w:type="gramStart"/>
                        <w:r w:rsidRPr="00A914A9">
                          <w:rPr>
                            <w:rFonts w:ascii="Arial" w:hAnsi="Arial" w:cs="Arial"/>
                            <w:b/>
                            <w:bCs/>
                            <w:sz w:val="18"/>
                            <w:szCs w:val="18"/>
                          </w:rPr>
                          <w:t>SEGUNDO.-</w:t>
                        </w:r>
                        <w:proofErr w:type="gramEnd"/>
                        <w:r w:rsidRPr="00A914A9">
                          <w:rPr>
                            <w:rFonts w:ascii="Arial" w:hAnsi="Arial" w:cs="Arial"/>
                            <w:sz w:val="18"/>
                            <w:szCs w:val="18"/>
                          </w:rPr>
                          <w:t xml:space="preserve"> De conformidad con el párrafo 1 de la Decisión No. 92 de la Comisión Administradora del Tratado de Libre Comercio entre los Estados Unidos Mexicanos y la República de Colombia, adoptada el 6 de marzo de 2018, la dispensa temporal a que se refiere dicho párrafo entrará en vigor a partir del 9 de abril de 2018 y concluirá su vigencia el 8 de abril de 2019.</w:t>
                        </w:r>
                      </w:p>
                      <w:p w:rsidR="00A914A9" w:rsidRPr="00A914A9" w:rsidRDefault="00A914A9" w:rsidP="00A914A9">
                        <w:pPr>
                          <w:spacing w:after="101" w:line="240" w:lineRule="auto"/>
                          <w:ind w:firstLine="288"/>
                          <w:rPr>
                            <w:rFonts w:ascii="Times New Roman" w:hAnsi="Times New Roman"/>
                            <w:sz w:val="18"/>
                            <w:szCs w:val="18"/>
                          </w:rPr>
                        </w:pPr>
                        <w:r w:rsidRPr="00A914A9">
                          <w:rPr>
                            <w:rFonts w:ascii="Arial" w:hAnsi="Arial" w:cs="Arial"/>
                            <w:sz w:val="18"/>
                            <w:szCs w:val="18"/>
                          </w:rPr>
                          <w:t xml:space="preserve">Ciudad de México, 28 de marzo de 2018.- El Secretario de Economía, </w:t>
                        </w:r>
                        <w:r w:rsidRPr="00A914A9">
                          <w:rPr>
                            <w:rFonts w:ascii="Arial" w:hAnsi="Arial" w:cs="Arial"/>
                            <w:b/>
                            <w:bCs/>
                            <w:sz w:val="18"/>
                            <w:szCs w:val="18"/>
                          </w:rPr>
                          <w:t xml:space="preserve">Ildefonso Guajardo </w:t>
                        </w:r>
                        <w:proofErr w:type="gramStart"/>
                        <w:r w:rsidRPr="00A914A9">
                          <w:rPr>
                            <w:rFonts w:ascii="Arial" w:hAnsi="Arial" w:cs="Arial"/>
                            <w:b/>
                            <w:bCs/>
                            <w:sz w:val="18"/>
                            <w:szCs w:val="18"/>
                          </w:rPr>
                          <w:t>Villarreal</w:t>
                        </w:r>
                        <w:r w:rsidRPr="00A914A9">
                          <w:rPr>
                            <w:rFonts w:ascii="Arial" w:hAnsi="Arial" w:cs="Arial"/>
                            <w:sz w:val="18"/>
                            <w:szCs w:val="18"/>
                          </w:rPr>
                          <w:t>.-</w:t>
                        </w:r>
                        <w:proofErr w:type="gramEnd"/>
                        <w:r w:rsidRPr="00A914A9">
                          <w:rPr>
                            <w:rFonts w:ascii="Arial" w:hAnsi="Arial" w:cs="Arial"/>
                            <w:sz w:val="18"/>
                            <w:szCs w:val="18"/>
                          </w:rPr>
                          <w:t xml:space="preserve"> Rúbrica.</w:t>
                        </w:r>
                      </w:p>
                      <w:p w:rsidR="00A914A9" w:rsidRPr="00A914A9" w:rsidRDefault="00A914A9" w:rsidP="00A914A9">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6976"/>
                        </w:tblGrid>
                        <w:tr w:rsidR="00A914A9" w:rsidRPr="00A914A9" w:rsidTr="00A914A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A914A9" w:rsidRPr="00A914A9" w:rsidRDefault="00A914A9" w:rsidP="00A914A9">
                              <w:pPr>
                                <w:spacing w:after="0" w:line="240" w:lineRule="auto"/>
                                <w:rPr>
                                  <w:rFonts w:ascii="Times New Roman" w:hAnsi="Times New Roman"/>
                                  <w:sz w:val="17"/>
                                  <w:szCs w:val="17"/>
                                </w:rPr>
                              </w:pPr>
                              <w:r w:rsidRPr="00A914A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A914A9" w:rsidRPr="00A914A9" w:rsidRDefault="00A914A9" w:rsidP="00A914A9">
                        <w:pPr>
                          <w:spacing w:after="0" w:line="240" w:lineRule="auto"/>
                          <w:rPr>
                            <w:rFonts w:ascii="Times New Roman" w:hAnsi="Times New Roman"/>
                            <w:sz w:val="18"/>
                            <w:szCs w:val="18"/>
                          </w:rPr>
                        </w:pPr>
                      </w:p>
                    </w:tc>
                  </w:tr>
                  <w:tr w:rsidR="00A914A9" w:rsidRPr="00A914A9" w:rsidTr="00A914A9">
                    <w:trPr>
                      <w:tblCellSpacing w:w="0" w:type="dxa"/>
                      <w:jc w:val="center"/>
                    </w:trPr>
                    <w:tc>
                      <w:tcPr>
                        <w:tcW w:w="0" w:type="auto"/>
                        <w:vAlign w:val="center"/>
                        <w:hideMark/>
                      </w:tcPr>
                      <w:p w:rsidR="00A914A9" w:rsidRPr="00A914A9" w:rsidRDefault="00A914A9" w:rsidP="00A914A9">
                        <w:pPr>
                          <w:spacing w:after="0" w:line="240" w:lineRule="auto"/>
                          <w:rPr>
                            <w:rFonts w:ascii="Times New Roman" w:hAnsi="Times New Roman"/>
                            <w:sz w:val="24"/>
                            <w:szCs w:val="24"/>
                          </w:rPr>
                        </w:pPr>
                        <w:r w:rsidRPr="00A914A9">
                          <w:rPr>
                            <w:rFonts w:ascii="Times New Roman" w:hAnsi="Times New Roman"/>
                            <w:sz w:val="24"/>
                            <w:szCs w:val="24"/>
                          </w:rPr>
                          <w:t> </w:t>
                        </w:r>
                      </w:p>
                    </w:tc>
                  </w:tr>
                </w:tbl>
                <w:p w:rsidR="00683BA3" w:rsidRPr="00683BA3" w:rsidRDefault="00683BA3" w:rsidP="00683BA3">
                  <w:pPr>
                    <w:spacing w:after="0" w:line="240" w:lineRule="auto"/>
                    <w:rPr>
                      <w:rFonts w:ascii="Arial" w:hAnsi="Arial" w:cs="Arial"/>
                      <w:sz w:val="18"/>
                      <w:szCs w:val="18"/>
                    </w:rPr>
                  </w:pPr>
                </w:p>
              </w:tc>
            </w:tr>
            <w:tr w:rsidR="00683BA3" w:rsidRPr="00683BA3" w:rsidTr="00683BA3">
              <w:trPr>
                <w:tblCellSpacing w:w="0" w:type="dxa"/>
                <w:jc w:val="center"/>
              </w:trPr>
              <w:tc>
                <w:tcPr>
                  <w:tcW w:w="0" w:type="auto"/>
                  <w:vAlign w:val="center"/>
                  <w:hideMark/>
                </w:tcPr>
                <w:p w:rsidR="00683BA3" w:rsidRPr="00683BA3" w:rsidRDefault="00683BA3" w:rsidP="00683BA3">
                  <w:pPr>
                    <w:spacing w:after="0" w:line="240" w:lineRule="auto"/>
                    <w:rPr>
                      <w:rFonts w:ascii="Times New Roman" w:hAnsi="Times New Roman"/>
                      <w:sz w:val="24"/>
                      <w:szCs w:val="24"/>
                    </w:rPr>
                  </w:pPr>
                  <w:r w:rsidRPr="00683BA3">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945DA"/>
    <w:rsid w:val="004F7731"/>
    <w:rsid w:val="00683BA3"/>
    <w:rsid w:val="006C5163"/>
    <w:rsid w:val="0073577F"/>
    <w:rsid w:val="007A6989"/>
    <w:rsid w:val="007E4008"/>
    <w:rsid w:val="008750CB"/>
    <w:rsid w:val="00967776"/>
    <w:rsid w:val="009B259C"/>
    <w:rsid w:val="009F564D"/>
    <w:rsid w:val="00A914A9"/>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8599"/>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280456548level1">
    <w:name w:val="liststyle_280456548_level_1"/>
    <w:basedOn w:val="Fuentedeprrafopredeter"/>
    <w:rsid w:val="00A9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38325033">
      <w:bodyDiv w:val="1"/>
      <w:marLeft w:val="0"/>
      <w:marRight w:val="0"/>
      <w:marTop w:val="0"/>
      <w:marBottom w:val="0"/>
      <w:divBdr>
        <w:top w:val="none" w:sz="0" w:space="0" w:color="auto"/>
        <w:left w:val="none" w:sz="0" w:space="0" w:color="auto"/>
        <w:bottom w:val="none" w:sz="0" w:space="0" w:color="auto"/>
        <w:right w:val="none" w:sz="0" w:space="0" w:color="auto"/>
      </w:divBdr>
      <w:divsChild>
        <w:div w:id="1247882478">
          <w:marLeft w:val="0"/>
          <w:marRight w:val="0"/>
          <w:marTop w:val="0"/>
          <w:marBottom w:val="0"/>
          <w:divBdr>
            <w:top w:val="none" w:sz="0" w:space="0" w:color="auto"/>
            <w:left w:val="none" w:sz="0" w:space="0" w:color="auto"/>
            <w:bottom w:val="none" w:sz="0" w:space="0" w:color="auto"/>
            <w:right w:val="none" w:sz="0" w:space="0" w:color="auto"/>
          </w:divBdr>
          <w:divsChild>
            <w:div w:id="448279261">
              <w:marLeft w:val="0"/>
              <w:marRight w:val="0"/>
              <w:marTop w:val="0"/>
              <w:marBottom w:val="0"/>
              <w:divBdr>
                <w:top w:val="none" w:sz="0" w:space="0" w:color="auto"/>
                <w:left w:val="none" w:sz="0" w:space="0" w:color="auto"/>
                <w:bottom w:val="none" w:sz="0" w:space="0" w:color="auto"/>
                <w:right w:val="none" w:sz="0" w:space="0" w:color="auto"/>
              </w:divBdr>
              <w:divsChild>
                <w:div w:id="1931112966">
                  <w:marLeft w:val="0"/>
                  <w:marRight w:val="0"/>
                  <w:marTop w:val="0"/>
                  <w:marBottom w:val="66"/>
                  <w:divBdr>
                    <w:top w:val="none" w:sz="0" w:space="0" w:color="auto"/>
                    <w:left w:val="none" w:sz="0" w:space="0" w:color="auto"/>
                    <w:bottom w:val="none" w:sz="0" w:space="0" w:color="auto"/>
                    <w:right w:val="none" w:sz="0" w:space="0" w:color="auto"/>
                  </w:divBdr>
                </w:div>
                <w:div w:id="84349921">
                  <w:marLeft w:val="0"/>
                  <w:marRight w:val="0"/>
                  <w:marTop w:val="101"/>
                  <w:marBottom w:val="66"/>
                  <w:divBdr>
                    <w:top w:val="none" w:sz="0" w:space="0" w:color="auto"/>
                    <w:left w:val="none" w:sz="0" w:space="0" w:color="auto"/>
                    <w:bottom w:val="none" w:sz="0" w:space="0" w:color="auto"/>
                    <w:right w:val="none" w:sz="0" w:space="0" w:color="auto"/>
                  </w:divBdr>
                </w:div>
                <w:div w:id="913203848">
                  <w:marLeft w:val="0"/>
                  <w:marRight w:val="0"/>
                  <w:marTop w:val="0"/>
                  <w:marBottom w:val="66"/>
                  <w:divBdr>
                    <w:top w:val="none" w:sz="0" w:space="0" w:color="auto"/>
                    <w:left w:val="none" w:sz="0" w:space="0" w:color="auto"/>
                    <w:bottom w:val="none" w:sz="0" w:space="0" w:color="auto"/>
                    <w:right w:val="none" w:sz="0" w:space="0" w:color="auto"/>
                  </w:divBdr>
                </w:div>
                <w:div w:id="406269491">
                  <w:marLeft w:val="0"/>
                  <w:marRight w:val="0"/>
                  <w:marTop w:val="0"/>
                  <w:marBottom w:val="66"/>
                  <w:divBdr>
                    <w:top w:val="none" w:sz="0" w:space="0" w:color="auto"/>
                    <w:left w:val="none" w:sz="0" w:space="0" w:color="auto"/>
                    <w:bottom w:val="none" w:sz="0" w:space="0" w:color="auto"/>
                    <w:right w:val="none" w:sz="0" w:space="0" w:color="auto"/>
                  </w:divBdr>
                </w:div>
                <w:div w:id="1636450305">
                  <w:marLeft w:val="0"/>
                  <w:marRight w:val="0"/>
                  <w:marTop w:val="0"/>
                  <w:marBottom w:val="66"/>
                  <w:divBdr>
                    <w:top w:val="none" w:sz="0" w:space="0" w:color="auto"/>
                    <w:left w:val="none" w:sz="0" w:space="0" w:color="auto"/>
                    <w:bottom w:val="none" w:sz="0" w:space="0" w:color="auto"/>
                    <w:right w:val="none" w:sz="0" w:space="0" w:color="auto"/>
                  </w:divBdr>
                </w:div>
                <w:div w:id="18893590">
                  <w:marLeft w:val="0"/>
                  <w:marRight w:val="0"/>
                  <w:marTop w:val="0"/>
                  <w:marBottom w:val="66"/>
                  <w:divBdr>
                    <w:top w:val="none" w:sz="0" w:space="0" w:color="auto"/>
                    <w:left w:val="none" w:sz="0" w:space="0" w:color="auto"/>
                    <w:bottom w:val="none" w:sz="0" w:space="0" w:color="auto"/>
                    <w:right w:val="none" w:sz="0" w:space="0" w:color="auto"/>
                  </w:divBdr>
                </w:div>
                <w:div w:id="881525605">
                  <w:marLeft w:val="0"/>
                  <w:marRight w:val="0"/>
                  <w:marTop w:val="0"/>
                  <w:marBottom w:val="66"/>
                  <w:divBdr>
                    <w:top w:val="none" w:sz="0" w:space="0" w:color="auto"/>
                    <w:left w:val="none" w:sz="0" w:space="0" w:color="auto"/>
                    <w:bottom w:val="none" w:sz="0" w:space="0" w:color="auto"/>
                    <w:right w:val="none" w:sz="0" w:space="0" w:color="auto"/>
                  </w:divBdr>
                </w:div>
                <w:div w:id="1251356734">
                  <w:marLeft w:val="0"/>
                  <w:marRight w:val="0"/>
                  <w:marTop w:val="0"/>
                  <w:marBottom w:val="66"/>
                  <w:divBdr>
                    <w:top w:val="none" w:sz="0" w:space="0" w:color="auto"/>
                    <w:left w:val="none" w:sz="0" w:space="0" w:color="auto"/>
                    <w:bottom w:val="none" w:sz="0" w:space="0" w:color="auto"/>
                    <w:right w:val="none" w:sz="0" w:space="0" w:color="auto"/>
                  </w:divBdr>
                </w:div>
                <w:div w:id="1371146190">
                  <w:marLeft w:val="0"/>
                  <w:marRight w:val="0"/>
                  <w:marTop w:val="101"/>
                  <w:marBottom w:val="66"/>
                  <w:divBdr>
                    <w:top w:val="none" w:sz="0" w:space="0" w:color="auto"/>
                    <w:left w:val="none" w:sz="0" w:space="0" w:color="auto"/>
                    <w:bottom w:val="none" w:sz="0" w:space="0" w:color="auto"/>
                    <w:right w:val="none" w:sz="0" w:space="0" w:color="auto"/>
                  </w:divBdr>
                </w:div>
                <w:div w:id="1759861616">
                  <w:marLeft w:val="0"/>
                  <w:marRight w:val="0"/>
                  <w:marTop w:val="0"/>
                  <w:marBottom w:val="66"/>
                  <w:divBdr>
                    <w:top w:val="none" w:sz="0" w:space="0" w:color="auto"/>
                    <w:left w:val="none" w:sz="0" w:space="0" w:color="auto"/>
                    <w:bottom w:val="none" w:sz="0" w:space="0" w:color="auto"/>
                    <w:right w:val="none" w:sz="0" w:space="0" w:color="auto"/>
                  </w:divBdr>
                </w:div>
                <w:div w:id="1977637844">
                  <w:marLeft w:val="0"/>
                  <w:marRight w:val="0"/>
                  <w:marTop w:val="0"/>
                  <w:marBottom w:val="66"/>
                  <w:divBdr>
                    <w:top w:val="none" w:sz="0" w:space="0" w:color="auto"/>
                    <w:left w:val="none" w:sz="0" w:space="0" w:color="auto"/>
                    <w:bottom w:val="none" w:sz="0" w:space="0" w:color="auto"/>
                    <w:right w:val="none" w:sz="0" w:space="0" w:color="auto"/>
                  </w:divBdr>
                </w:div>
                <w:div w:id="1896119564">
                  <w:marLeft w:val="0"/>
                  <w:marRight w:val="0"/>
                  <w:marTop w:val="0"/>
                  <w:marBottom w:val="66"/>
                  <w:divBdr>
                    <w:top w:val="none" w:sz="0" w:space="0" w:color="auto"/>
                    <w:left w:val="none" w:sz="0" w:space="0" w:color="auto"/>
                    <w:bottom w:val="none" w:sz="0" w:space="0" w:color="auto"/>
                    <w:right w:val="none" w:sz="0" w:space="0" w:color="auto"/>
                  </w:divBdr>
                </w:div>
                <w:div w:id="1775175768">
                  <w:marLeft w:val="0"/>
                  <w:marRight w:val="0"/>
                  <w:marTop w:val="0"/>
                  <w:marBottom w:val="66"/>
                  <w:divBdr>
                    <w:top w:val="none" w:sz="0" w:space="0" w:color="auto"/>
                    <w:left w:val="none" w:sz="0" w:space="0" w:color="auto"/>
                    <w:bottom w:val="none" w:sz="0" w:space="0" w:color="auto"/>
                    <w:right w:val="none" w:sz="0" w:space="0" w:color="auto"/>
                  </w:divBdr>
                </w:div>
                <w:div w:id="645546969">
                  <w:marLeft w:val="0"/>
                  <w:marRight w:val="0"/>
                  <w:marTop w:val="0"/>
                  <w:marBottom w:val="101"/>
                  <w:divBdr>
                    <w:top w:val="none" w:sz="0" w:space="0" w:color="auto"/>
                    <w:left w:val="none" w:sz="0" w:space="0" w:color="auto"/>
                    <w:bottom w:val="none" w:sz="0" w:space="0" w:color="auto"/>
                    <w:right w:val="none" w:sz="0" w:space="0" w:color="auto"/>
                  </w:divBdr>
                </w:div>
                <w:div w:id="1722630503">
                  <w:marLeft w:val="720"/>
                  <w:marRight w:val="0"/>
                  <w:marTop w:val="0"/>
                  <w:marBottom w:val="101"/>
                  <w:divBdr>
                    <w:top w:val="none" w:sz="0" w:space="0" w:color="auto"/>
                    <w:left w:val="none" w:sz="0" w:space="0" w:color="auto"/>
                    <w:bottom w:val="none" w:sz="0" w:space="0" w:color="auto"/>
                    <w:right w:val="none" w:sz="0" w:space="0" w:color="auto"/>
                  </w:divBdr>
                </w:div>
                <w:div w:id="781336781">
                  <w:marLeft w:val="1152"/>
                  <w:marRight w:val="0"/>
                  <w:marTop w:val="0"/>
                  <w:marBottom w:val="101"/>
                  <w:divBdr>
                    <w:top w:val="none" w:sz="0" w:space="0" w:color="auto"/>
                    <w:left w:val="none" w:sz="0" w:space="0" w:color="auto"/>
                    <w:bottom w:val="none" w:sz="0" w:space="0" w:color="auto"/>
                    <w:right w:val="none" w:sz="0" w:space="0" w:color="auto"/>
                  </w:divBdr>
                </w:div>
                <w:div w:id="466894351">
                  <w:marLeft w:val="1152"/>
                  <w:marRight w:val="0"/>
                  <w:marTop w:val="0"/>
                  <w:marBottom w:val="101"/>
                  <w:divBdr>
                    <w:top w:val="none" w:sz="0" w:space="0" w:color="auto"/>
                    <w:left w:val="none" w:sz="0" w:space="0" w:color="auto"/>
                    <w:bottom w:val="none" w:sz="0" w:space="0" w:color="auto"/>
                    <w:right w:val="none" w:sz="0" w:space="0" w:color="auto"/>
                  </w:divBdr>
                </w:div>
                <w:div w:id="1842431238">
                  <w:marLeft w:val="720"/>
                  <w:marRight w:val="0"/>
                  <w:marTop w:val="0"/>
                  <w:marBottom w:val="101"/>
                  <w:divBdr>
                    <w:top w:val="none" w:sz="0" w:space="0" w:color="auto"/>
                    <w:left w:val="none" w:sz="0" w:space="0" w:color="auto"/>
                    <w:bottom w:val="none" w:sz="0" w:space="0" w:color="auto"/>
                    <w:right w:val="none" w:sz="0" w:space="0" w:color="auto"/>
                  </w:divBdr>
                </w:div>
                <w:div w:id="616837955">
                  <w:marLeft w:val="720"/>
                  <w:marRight w:val="0"/>
                  <w:marTop w:val="0"/>
                  <w:marBottom w:val="101"/>
                  <w:divBdr>
                    <w:top w:val="none" w:sz="0" w:space="0" w:color="auto"/>
                    <w:left w:val="none" w:sz="0" w:space="0" w:color="auto"/>
                    <w:bottom w:val="none" w:sz="0" w:space="0" w:color="auto"/>
                    <w:right w:val="none" w:sz="0" w:space="0" w:color="auto"/>
                  </w:divBdr>
                </w:div>
                <w:div w:id="970014931">
                  <w:marLeft w:val="0"/>
                  <w:marRight w:val="0"/>
                  <w:marTop w:val="0"/>
                  <w:marBottom w:val="101"/>
                  <w:divBdr>
                    <w:top w:val="none" w:sz="0" w:space="0" w:color="auto"/>
                    <w:left w:val="none" w:sz="0" w:space="0" w:color="auto"/>
                    <w:bottom w:val="none" w:sz="0" w:space="0" w:color="auto"/>
                    <w:right w:val="none" w:sz="0" w:space="0" w:color="auto"/>
                  </w:divBdr>
                </w:div>
                <w:div w:id="2028360801">
                  <w:marLeft w:val="0"/>
                  <w:marRight w:val="0"/>
                  <w:marTop w:val="0"/>
                  <w:marBottom w:val="101"/>
                  <w:divBdr>
                    <w:top w:val="none" w:sz="0" w:space="0" w:color="auto"/>
                    <w:left w:val="none" w:sz="0" w:space="0" w:color="auto"/>
                    <w:bottom w:val="none" w:sz="0" w:space="0" w:color="auto"/>
                    <w:right w:val="none" w:sz="0" w:space="0" w:color="auto"/>
                  </w:divBdr>
                </w:div>
                <w:div w:id="700671013">
                  <w:marLeft w:val="0"/>
                  <w:marRight w:val="0"/>
                  <w:marTop w:val="0"/>
                  <w:marBottom w:val="101"/>
                  <w:divBdr>
                    <w:top w:val="none" w:sz="0" w:space="0" w:color="auto"/>
                    <w:left w:val="none" w:sz="0" w:space="0" w:color="auto"/>
                    <w:bottom w:val="none" w:sz="0" w:space="0" w:color="auto"/>
                    <w:right w:val="none" w:sz="0" w:space="0" w:color="auto"/>
                  </w:divBdr>
                </w:div>
                <w:div w:id="207844060">
                  <w:marLeft w:val="0"/>
                  <w:marRight w:val="0"/>
                  <w:marTop w:val="0"/>
                  <w:marBottom w:val="101"/>
                  <w:divBdr>
                    <w:top w:val="none" w:sz="0" w:space="0" w:color="auto"/>
                    <w:left w:val="none" w:sz="0" w:space="0" w:color="auto"/>
                    <w:bottom w:val="none" w:sz="0" w:space="0" w:color="auto"/>
                    <w:right w:val="none" w:sz="0" w:space="0" w:color="auto"/>
                  </w:divBdr>
                </w:div>
                <w:div w:id="190994657">
                  <w:marLeft w:val="0"/>
                  <w:marRight w:val="0"/>
                  <w:marTop w:val="0"/>
                  <w:marBottom w:val="101"/>
                  <w:divBdr>
                    <w:top w:val="none" w:sz="0" w:space="0" w:color="auto"/>
                    <w:left w:val="none" w:sz="0" w:space="0" w:color="auto"/>
                    <w:bottom w:val="none" w:sz="0" w:space="0" w:color="auto"/>
                    <w:right w:val="none" w:sz="0" w:space="0" w:color="auto"/>
                  </w:divBdr>
                </w:div>
                <w:div w:id="1081870568">
                  <w:marLeft w:val="0"/>
                  <w:marRight w:val="0"/>
                  <w:marTop w:val="0"/>
                  <w:marBottom w:val="101"/>
                  <w:divBdr>
                    <w:top w:val="none" w:sz="0" w:space="0" w:color="auto"/>
                    <w:left w:val="none" w:sz="0" w:space="0" w:color="auto"/>
                    <w:bottom w:val="none" w:sz="0" w:space="0" w:color="auto"/>
                    <w:right w:val="none" w:sz="0" w:space="0" w:color="auto"/>
                  </w:divBdr>
                </w:div>
                <w:div w:id="1066302456">
                  <w:marLeft w:val="0"/>
                  <w:marRight w:val="0"/>
                  <w:marTop w:val="0"/>
                  <w:marBottom w:val="101"/>
                  <w:divBdr>
                    <w:top w:val="none" w:sz="0" w:space="0" w:color="auto"/>
                    <w:left w:val="none" w:sz="0" w:space="0" w:color="auto"/>
                    <w:bottom w:val="none" w:sz="0" w:space="0" w:color="auto"/>
                    <w:right w:val="none" w:sz="0" w:space="0" w:color="auto"/>
                  </w:divBdr>
                </w:div>
                <w:div w:id="122894336">
                  <w:marLeft w:val="0"/>
                  <w:marRight w:val="0"/>
                  <w:marTop w:val="0"/>
                  <w:marBottom w:val="101"/>
                  <w:divBdr>
                    <w:top w:val="none" w:sz="0" w:space="0" w:color="auto"/>
                    <w:left w:val="none" w:sz="0" w:space="0" w:color="auto"/>
                    <w:bottom w:val="none" w:sz="0" w:space="0" w:color="auto"/>
                    <w:right w:val="none" w:sz="0" w:space="0" w:color="auto"/>
                  </w:divBdr>
                </w:div>
                <w:div w:id="1982229147">
                  <w:marLeft w:val="0"/>
                  <w:marRight w:val="0"/>
                  <w:marTop w:val="0"/>
                  <w:marBottom w:val="101"/>
                  <w:divBdr>
                    <w:top w:val="none" w:sz="0" w:space="0" w:color="auto"/>
                    <w:left w:val="none" w:sz="0" w:space="0" w:color="auto"/>
                    <w:bottom w:val="none" w:sz="0" w:space="0" w:color="auto"/>
                    <w:right w:val="none" w:sz="0" w:space="0" w:color="auto"/>
                  </w:divBdr>
                </w:div>
                <w:div w:id="1565604690">
                  <w:marLeft w:val="0"/>
                  <w:marRight w:val="0"/>
                  <w:marTop w:val="0"/>
                  <w:marBottom w:val="101"/>
                  <w:divBdr>
                    <w:top w:val="none" w:sz="0" w:space="0" w:color="auto"/>
                    <w:left w:val="none" w:sz="0" w:space="0" w:color="auto"/>
                    <w:bottom w:val="none" w:sz="0" w:space="0" w:color="auto"/>
                    <w:right w:val="none" w:sz="0" w:space="0" w:color="auto"/>
                  </w:divBdr>
                </w:div>
                <w:div w:id="1334181979">
                  <w:marLeft w:val="432"/>
                  <w:marRight w:val="0"/>
                  <w:marTop w:val="0"/>
                  <w:marBottom w:val="101"/>
                  <w:divBdr>
                    <w:top w:val="none" w:sz="0" w:space="0" w:color="auto"/>
                    <w:left w:val="none" w:sz="0" w:space="0" w:color="auto"/>
                    <w:bottom w:val="none" w:sz="0" w:space="0" w:color="auto"/>
                    <w:right w:val="none" w:sz="0" w:space="0" w:color="auto"/>
                  </w:divBdr>
                </w:div>
                <w:div w:id="401604782">
                  <w:marLeft w:val="0"/>
                  <w:marRight w:val="0"/>
                  <w:marTop w:val="0"/>
                  <w:marBottom w:val="101"/>
                  <w:divBdr>
                    <w:top w:val="none" w:sz="0" w:space="0" w:color="auto"/>
                    <w:left w:val="none" w:sz="0" w:space="0" w:color="auto"/>
                    <w:bottom w:val="none" w:sz="0" w:space="0" w:color="auto"/>
                    <w:right w:val="none" w:sz="0" w:space="0" w:color="auto"/>
                  </w:divBdr>
                </w:div>
                <w:div w:id="399325467">
                  <w:marLeft w:val="0"/>
                  <w:marRight w:val="0"/>
                  <w:marTop w:val="0"/>
                  <w:marBottom w:val="101"/>
                  <w:divBdr>
                    <w:top w:val="none" w:sz="0" w:space="0" w:color="auto"/>
                    <w:left w:val="none" w:sz="0" w:space="0" w:color="auto"/>
                    <w:bottom w:val="none" w:sz="0" w:space="0" w:color="auto"/>
                    <w:right w:val="none" w:sz="0" w:space="0" w:color="auto"/>
                  </w:divBdr>
                </w:div>
                <w:div w:id="1471048705">
                  <w:marLeft w:val="0"/>
                  <w:marRight w:val="0"/>
                  <w:marTop w:val="0"/>
                  <w:marBottom w:val="101"/>
                  <w:divBdr>
                    <w:top w:val="none" w:sz="0" w:space="0" w:color="auto"/>
                    <w:left w:val="none" w:sz="0" w:space="0" w:color="auto"/>
                    <w:bottom w:val="none" w:sz="0" w:space="0" w:color="auto"/>
                    <w:right w:val="none" w:sz="0" w:space="0" w:color="auto"/>
                  </w:divBdr>
                </w:div>
                <w:div w:id="1829517024">
                  <w:marLeft w:val="0"/>
                  <w:marRight w:val="0"/>
                  <w:marTop w:val="0"/>
                  <w:marBottom w:val="101"/>
                  <w:divBdr>
                    <w:top w:val="none" w:sz="0" w:space="0" w:color="auto"/>
                    <w:left w:val="none" w:sz="0" w:space="0" w:color="auto"/>
                    <w:bottom w:val="none" w:sz="0" w:space="0" w:color="auto"/>
                    <w:right w:val="none" w:sz="0" w:space="0" w:color="auto"/>
                  </w:divBdr>
                </w:div>
                <w:div w:id="1484081353">
                  <w:marLeft w:val="720"/>
                  <w:marRight w:val="0"/>
                  <w:marTop w:val="0"/>
                  <w:marBottom w:val="101"/>
                  <w:divBdr>
                    <w:top w:val="none" w:sz="0" w:space="0" w:color="auto"/>
                    <w:left w:val="none" w:sz="0" w:space="0" w:color="auto"/>
                    <w:bottom w:val="none" w:sz="0" w:space="0" w:color="auto"/>
                    <w:right w:val="none" w:sz="0" w:space="0" w:color="auto"/>
                  </w:divBdr>
                </w:div>
                <w:div w:id="1679231871">
                  <w:marLeft w:val="720"/>
                  <w:marRight w:val="0"/>
                  <w:marTop w:val="0"/>
                  <w:marBottom w:val="101"/>
                  <w:divBdr>
                    <w:top w:val="none" w:sz="0" w:space="0" w:color="auto"/>
                    <w:left w:val="none" w:sz="0" w:space="0" w:color="auto"/>
                    <w:bottom w:val="none" w:sz="0" w:space="0" w:color="auto"/>
                    <w:right w:val="none" w:sz="0" w:space="0" w:color="auto"/>
                  </w:divBdr>
                </w:div>
                <w:div w:id="174347411">
                  <w:marLeft w:val="720"/>
                  <w:marRight w:val="0"/>
                  <w:marTop w:val="0"/>
                  <w:marBottom w:val="101"/>
                  <w:divBdr>
                    <w:top w:val="none" w:sz="0" w:space="0" w:color="auto"/>
                    <w:left w:val="none" w:sz="0" w:space="0" w:color="auto"/>
                    <w:bottom w:val="none" w:sz="0" w:space="0" w:color="auto"/>
                    <w:right w:val="none" w:sz="0" w:space="0" w:color="auto"/>
                  </w:divBdr>
                </w:div>
                <w:div w:id="582568969">
                  <w:marLeft w:val="720"/>
                  <w:marRight w:val="0"/>
                  <w:marTop w:val="0"/>
                  <w:marBottom w:val="101"/>
                  <w:divBdr>
                    <w:top w:val="none" w:sz="0" w:space="0" w:color="auto"/>
                    <w:left w:val="none" w:sz="0" w:space="0" w:color="auto"/>
                    <w:bottom w:val="none" w:sz="0" w:space="0" w:color="auto"/>
                    <w:right w:val="none" w:sz="0" w:space="0" w:color="auto"/>
                  </w:divBdr>
                </w:div>
                <w:div w:id="337344145">
                  <w:marLeft w:val="0"/>
                  <w:marRight w:val="0"/>
                  <w:marTop w:val="101"/>
                  <w:marBottom w:val="101"/>
                  <w:divBdr>
                    <w:top w:val="none" w:sz="0" w:space="0" w:color="auto"/>
                    <w:left w:val="none" w:sz="0" w:space="0" w:color="auto"/>
                    <w:bottom w:val="none" w:sz="0" w:space="0" w:color="auto"/>
                    <w:right w:val="none" w:sz="0" w:space="0" w:color="auto"/>
                  </w:divBdr>
                </w:div>
                <w:div w:id="1412657749">
                  <w:marLeft w:val="0"/>
                  <w:marRight w:val="0"/>
                  <w:marTop w:val="0"/>
                  <w:marBottom w:val="101"/>
                  <w:divBdr>
                    <w:top w:val="none" w:sz="0" w:space="0" w:color="auto"/>
                    <w:left w:val="none" w:sz="0" w:space="0" w:color="auto"/>
                    <w:bottom w:val="none" w:sz="0" w:space="0" w:color="auto"/>
                    <w:right w:val="none" w:sz="0" w:space="0" w:color="auto"/>
                  </w:divBdr>
                </w:div>
                <w:div w:id="1305966553">
                  <w:marLeft w:val="0"/>
                  <w:marRight w:val="0"/>
                  <w:marTop w:val="0"/>
                  <w:marBottom w:val="101"/>
                  <w:divBdr>
                    <w:top w:val="none" w:sz="0" w:space="0" w:color="auto"/>
                    <w:left w:val="none" w:sz="0" w:space="0" w:color="auto"/>
                    <w:bottom w:val="none" w:sz="0" w:space="0" w:color="auto"/>
                    <w:right w:val="none" w:sz="0" w:space="0" w:color="auto"/>
                  </w:divBdr>
                </w:div>
                <w:div w:id="1661807274">
                  <w:marLeft w:val="0"/>
                  <w:marRight w:val="0"/>
                  <w:marTop w:val="0"/>
                  <w:marBottom w:val="101"/>
                  <w:divBdr>
                    <w:top w:val="none" w:sz="0" w:space="0" w:color="auto"/>
                    <w:left w:val="none" w:sz="0" w:space="0" w:color="auto"/>
                    <w:bottom w:val="none" w:sz="0" w:space="0" w:color="auto"/>
                    <w:right w:val="none" w:sz="0" w:space="0" w:color="auto"/>
                  </w:divBdr>
                </w:div>
                <w:div w:id="1120146751">
                  <w:marLeft w:val="0"/>
                  <w:marRight w:val="0"/>
                  <w:marTop w:val="0"/>
                  <w:marBottom w:val="101"/>
                  <w:divBdr>
                    <w:top w:val="none" w:sz="0" w:space="0" w:color="auto"/>
                    <w:left w:val="none" w:sz="0" w:space="0" w:color="auto"/>
                    <w:bottom w:val="none" w:sz="0" w:space="0" w:color="auto"/>
                    <w:right w:val="none" w:sz="0" w:space="0" w:color="auto"/>
                  </w:divBdr>
                </w:div>
                <w:div w:id="32632205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7644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2018-07-18T21:08:00Z</cp:lastPrinted>
  <dcterms:created xsi:type="dcterms:W3CDTF">2018-07-18T21:21:00Z</dcterms:created>
  <dcterms:modified xsi:type="dcterms:W3CDTF">2018-07-18T21:21:00Z</dcterms:modified>
</cp:coreProperties>
</file>