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9"/>
        </w:rPr>
      </w:pPr>
    </w:p>
    <w:p>
      <w:pPr>
        <w:spacing w:before="65"/>
        <w:ind w:left="2576" w:right="2576" w:firstLine="0"/>
        <w:jc w:val="center"/>
        <w:rPr>
          <w:rFonts w:ascii="Times New Roman"/>
          <w:b/>
          <w:sz w:val="28"/>
        </w:rPr>
      </w:pPr>
      <w:r>
        <w:rPr>
          <w:rFonts w:ascii="Times New Roman"/>
          <w:b/>
          <w:sz w:val="28"/>
        </w:rPr>
        <w:t>SECRETARIA DE ECONOMIA</w:t>
      </w:r>
    </w:p>
    <w:p>
      <w:pPr>
        <w:pStyle w:val="Heading1"/>
        <w:spacing w:before="122" w:after="19"/>
        <w:jc w:val="both"/>
      </w:pPr>
      <w:r>
        <w:rPr/>
        <w:t>ACUERDO por el que se modifica el diverso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 calzado, cueros y pieles depilados y productos laminados planos de hierro o acero, originarios de Japón, publicado el 23 de julio de 2007.</w:t>
      </w:r>
    </w:p>
    <w:p>
      <w:pPr>
        <w:pStyle w:val="BodyText"/>
        <w:spacing w:line="72" w:lineRule="exact"/>
        <w:ind w:left="116"/>
        <w:rPr>
          <w:rFonts w:ascii="Times New Roman"/>
          <w:sz w:val="7"/>
        </w:rPr>
      </w:pPr>
      <w:r>
        <w:rPr>
          <w:rFonts w:ascii="Times New Roman"/>
          <w:position w:val="0"/>
          <w:sz w:val="7"/>
        </w:rPr>
        <w:pict>
          <v:group style="width:446.5pt;height:3.65pt;mso-position-horizontal-relative:char;mso-position-vertical-relative:line" coordorigin="0,0" coordsize="8930,73">
            <v:line style="position:absolute" from="15,15" to="8915,15" stroked="true" strokeweight="1.44pt" strokecolor="#000000"/>
            <v:line style="position:absolute" from="15,36" to="8915,36" stroked="true" strokeweight=".72pt" strokecolor="#000000"/>
            <v:line style="position:absolute" from="15,65" to="8915,65" stroked="true" strokeweight=".72pt" strokecolor="#000000"/>
          </v:group>
        </w:pict>
      </w:r>
      <w:r>
        <w:rPr>
          <w:rFonts w:ascii="Times New Roman"/>
          <w:position w:val="0"/>
          <w:sz w:val="7"/>
        </w:rPr>
      </w:r>
    </w:p>
    <w:p>
      <w:pPr>
        <w:pStyle w:val="BodyText"/>
        <w:spacing w:before="21"/>
        <w:ind w:left="159"/>
        <w:jc w:val="both"/>
      </w:pPr>
      <w:r>
        <w:rPr/>
        <w:t>Al margen un sello con el Escudo Nacional, que dice: Estados Unidos Mexicanos.- Secretaría de Economía.</w:t>
      </w:r>
    </w:p>
    <w:p>
      <w:pPr>
        <w:pStyle w:val="BodyText"/>
        <w:spacing w:line="292" w:lineRule="auto" w:before="134"/>
        <w:ind w:left="159" w:right="154" w:firstLine="288"/>
        <w:jc w:val="both"/>
      </w:pPr>
      <w:r>
        <w:rPr/>
        <w:t>Con fundamento en los artículos 5 del Acuerdo para el Fortalecimiento de la Asociación Económica entre los Estados Unidos Mexicanos y el Japón; 34 de la Ley Orgánica de la Administración Pública Federal; 4o., fracción III, 5o., fracción V, 6o., 17, 20, 23 y 24 de la Ley de Comercio Exterior; 9, fracción III, 16 y 31 de su Reglamento; 5, fracción XVI, del Reglamento Interior de la Secretaría de Economía, y</w:t>
      </w:r>
    </w:p>
    <w:p>
      <w:pPr>
        <w:pStyle w:val="Heading1"/>
        <w:spacing w:before="102"/>
        <w:ind w:left="2575" w:right="2576"/>
      </w:pPr>
      <w:r>
        <w:rPr/>
        <w:t>CONSIDERANDO</w:t>
      </w:r>
    </w:p>
    <w:p>
      <w:pPr>
        <w:pStyle w:val="BodyText"/>
        <w:spacing w:before="1"/>
        <w:rPr>
          <w:rFonts w:ascii="Times New Roman"/>
          <w:b/>
          <w:sz w:val="14"/>
        </w:rPr>
      </w:pPr>
    </w:p>
    <w:p>
      <w:pPr>
        <w:pStyle w:val="BodyText"/>
        <w:spacing w:line="316" w:lineRule="auto"/>
        <w:ind w:left="159" w:right="153" w:firstLine="288"/>
        <w:jc w:val="both"/>
      </w:pPr>
      <w:r>
        <w:rPr/>
        <w:t>Que el 23 de julio de 2007, se publicó en el Diario Oficial de la Federación el 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w:t>
      </w:r>
    </w:p>
    <w:p>
      <w:pPr>
        <w:pStyle w:val="BodyText"/>
        <w:spacing w:line="292" w:lineRule="auto" w:before="84"/>
        <w:ind w:left="159" w:right="155" w:firstLine="288"/>
        <w:jc w:val="both"/>
      </w:pPr>
      <w:r>
        <w:rPr/>
        <w:t>Que en atención a los avances de la tecnología y la industria, al incremento del intercambio de mercancías novedosas, a los cambios en los patrones de consumo y a la dinámica comercial internacional, los países miembros de la Organización Mundial de Aduanas, entre los que se encuentra México, acordaron la expedición de la “Quinta Enmienda a la Nomenclatura del Sistema Armonizado de Designación y Codificación de Mercancías”, por lo que en consecuencia, mediante Decreto del Ejecutivo Federal publicado en el Diario Oficial de la Federación, se modificó la Tarifa de la Ley de los Impuestos Generales de Importación y de Exportación;</w:t>
      </w:r>
    </w:p>
    <w:p>
      <w:pPr>
        <w:pStyle w:val="BodyText"/>
        <w:spacing w:line="316" w:lineRule="auto" w:before="118"/>
        <w:ind w:left="159" w:right="164" w:firstLine="288"/>
        <w:jc w:val="both"/>
      </w:pPr>
      <w:r>
        <w:rPr/>
        <w:t>Que ante la necesidad de otorgar al usuario del comercio exterior una mayor certidumbre jurídica en la aplicación del Acuerdo, es necesario modificar las fracciones arancelarias que se vieron impactadas con motivo de la modificación a la Tarifa de la Ley de los Impuestos Generales de Importación y de Exportación, y</w:t>
      </w:r>
    </w:p>
    <w:p>
      <w:pPr>
        <w:pStyle w:val="BodyText"/>
        <w:spacing w:line="292" w:lineRule="auto" w:before="84"/>
        <w:ind w:left="159" w:right="160" w:firstLine="288"/>
        <w:jc w:val="both"/>
      </w:pPr>
      <w:r>
        <w:rPr/>
        <w:t>Que la medida a que se refiere el presente ordenamiento cuenta con la opinión favorable de la Comisión de Comercio Exterior, se expide el</w:t>
      </w:r>
      <w:r>
        <w:rPr>
          <w:spacing w:val="-20"/>
        </w:rPr>
        <w:t> </w:t>
      </w:r>
      <w:r>
        <w:rPr/>
        <w:t>siguiente</w:t>
      </w:r>
    </w:p>
    <w:p>
      <w:pPr>
        <w:pStyle w:val="Heading1"/>
        <w:spacing w:line="333" w:lineRule="auto" w:before="128"/>
        <w:ind w:left="174" w:right="171" w:hanging="6"/>
      </w:pPr>
      <w:r>
        <w:rPr/>
        <w:t>ACUERDO POR EL QUE SE MODIFICA EL DIVERSO POR EL CUAL SE DAN A CONOCER LOS CUPOS PARA IMPORTAR A LOS ESTADOS UNIDOS MEXICANOS, AL AMPARO DEL ARANCEL-CUOTA ESTABLECIDO EN EL ACUERDO PARA EL FORTALECIMIENTO DE LA ASOCIACION ECONOMICA ENTRE LOS ESTADOS UNIDOS MEXICANOS Y EL JAPON, CARNE Y DESPOJOS DE BOVINO, CARNE Y PREPARACIONES DE POLLO, MIEL NATURAL, BANANAS O PLATANOS FRESCOS, NARANJAS, PASTA O PURE DE TOMATE, JUGO DE NARANJA, JUGO DE TOMATE SIN ADICION DE AZUCAR, KETCHUP, LAS DEMAS SALSAS DE TOMATE, D-GLUCITOL (SORBITOL), DEXTRINA Y DEMAS ALMIDONES Y FECULAS MODIFICADOS, CUEROS Y PIELES CURTIDOS EN “CRUST”, CALZADO, CUEROS Y PIELES DEPILADOS Y PRODUCTOS LAMINADOS PLANOS DE HIERRO O ACERO, ORIGINARIOS DE JAPON, PUBLICADO EN EL DIARIO OFICIAL DE LA FEDERACION EL 23 DE JULIO DE 2007</w:t>
      </w:r>
    </w:p>
    <w:p>
      <w:pPr>
        <w:pStyle w:val="BodyText"/>
        <w:spacing w:line="333" w:lineRule="auto" w:before="101"/>
        <w:ind w:left="159" w:right="153" w:firstLine="288"/>
        <w:jc w:val="both"/>
      </w:pPr>
      <w:r>
        <w:rPr>
          <w:b/>
        </w:rPr>
        <w:t>Unico.- </w:t>
      </w:r>
      <w:r>
        <w:rPr/>
        <w:t>Se </w:t>
      </w:r>
      <w:r>
        <w:rPr>
          <w:b/>
        </w:rPr>
        <w:t>reforma </w:t>
      </w:r>
      <w:r>
        <w:rPr/>
        <w:t>el numeral 4 del cuadro 1 contenido en el Artículo Primero del Acuerdo por el cual se dan a conocer los cupos para importar a los Estados Unidos Mexicanos, al amparo del arancel-cuota establecido  en el  Acuerdo  para  el Fortalecimiento  de  la Asociación  Económica entre los  Estados  Unidos</w:t>
      </w:r>
    </w:p>
    <w:p>
      <w:pPr>
        <w:spacing w:after="0" w:line="333" w:lineRule="auto"/>
        <w:jc w:val="both"/>
        <w:sectPr>
          <w:headerReference w:type="default" r:id="rId5"/>
          <w:type w:val="continuous"/>
          <w:pgSz w:w="12240" w:h="15840"/>
          <w:pgMar w:header="726" w:top="960" w:bottom="280" w:left="1540" w:right="1540"/>
        </w:sectPr>
      </w:pPr>
    </w:p>
    <w:p>
      <w:pPr>
        <w:pStyle w:val="BodyText"/>
        <w:spacing w:before="7"/>
        <w:rPr>
          <w:sz w:val="13"/>
        </w:rPr>
      </w:pPr>
    </w:p>
    <w:p>
      <w:pPr>
        <w:pStyle w:val="BodyText"/>
        <w:spacing w:line="333" w:lineRule="auto" w:before="78"/>
        <w:ind w:left="119" w:right="116"/>
        <w:jc w:val="both"/>
      </w:pPr>
      <w:r>
        <w:rPr/>
        <w:t>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publicado en el Diario Oficial de la Federación el 23 de julio de 2007, para quedar como</w:t>
      </w:r>
      <w:r>
        <w:rPr>
          <w:spacing w:val="-7"/>
        </w:rPr>
        <w:t> </w:t>
      </w:r>
      <w:r>
        <w:rPr/>
        <w:t>sigue:</w:t>
      </w:r>
    </w:p>
    <w:p>
      <w:pPr>
        <w:pStyle w:val="Heading1"/>
        <w:spacing w:line="448" w:lineRule="auto" w:before="103"/>
        <w:ind w:left="407" w:right="6812"/>
        <w:jc w:val="left"/>
        <w:rPr>
          <w:rFonts w:ascii="Arial" w:hAnsi="Arial"/>
        </w:rPr>
      </w:pPr>
      <w:r>
        <w:rPr/>
        <w:pict>
          <v:shape style="position:absolute;margin-left:87.863998pt;margin-top:40.951923pt;width:436.8pt;height:134.550pt;mso-position-horizontal-relative:page;mso-position-vertical-relative:paragraph;z-index:10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46"/>
                    <w:gridCol w:w="4494"/>
                    <w:gridCol w:w="1740"/>
                    <w:gridCol w:w="1834"/>
                  </w:tblGrid>
                  <w:tr>
                    <w:trPr>
                      <w:trHeight w:val="689" w:hRule="exact"/>
                    </w:trPr>
                    <w:tc>
                      <w:tcPr>
                        <w:tcW w:w="646" w:type="dxa"/>
                      </w:tcPr>
                      <w:p>
                        <w:pPr/>
                      </w:p>
                    </w:tc>
                    <w:tc>
                      <w:tcPr>
                        <w:tcW w:w="4494" w:type="dxa"/>
                      </w:tcPr>
                      <w:p>
                        <w:pPr>
                          <w:pStyle w:val="TableParagraph"/>
                          <w:ind w:left="844"/>
                          <w:rPr>
                            <w:b/>
                            <w:sz w:val="16"/>
                          </w:rPr>
                        </w:pPr>
                        <w:r>
                          <w:rPr>
                            <w:b/>
                            <w:sz w:val="16"/>
                          </w:rPr>
                          <w:t>Descripción/Fracciones arancelarias</w:t>
                        </w:r>
                      </w:p>
                    </w:tc>
                    <w:tc>
                      <w:tcPr>
                        <w:tcW w:w="1740" w:type="dxa"/>
                      </w:tcPr>
                      <w:p>
                        <w:pPr>
                          <w:pStyle w:val="TableParagraph"/>
                          <w:spacing w:line="376" w:lineRule="auto"/>
                          <w:ind w:left="626" w:right="173" w:hanging="437"/>
                          <w:rPr>
                            <w:b/>
                            <w:sz w:val="16"/>
                          </w:rPr>
                        </w:pPr>
                        <w:r>
                          <w:rPr>
                            <w:b/>
                            <w:sz w:val="16"/>
                          </w:rPr>
                          <w:t>Periodo 1 abril-31 marzo</w:t>
                        </w:r>
                      </w:p>
                    </w:tc>
                    <w:tc>
                      <w:tcPr>
                        <w:tcW w:w="1834" w:type="dxa"/>
                      </w:tcPr>
                      <w:p>
                        <w:pPr>
                          <w:pStyle w:val="TableParagraph"/>
                          <w:spacing w:line="376" w:lineRule="auto"/>
                          <w:ind w:left="555" w:right="228" w:hanging="308"/>
                          <w:rPr>
                            <w:b/>
                            <w:sz w:val="16"/>
                          </w:rPr>
                        </w:pPr>
                        <w:r>
                          <w:rPr>
                            <w:b/>
                            <w:sz w:val="16"/>
                          </w:rPr>
                          <w:t>Monto (toneladas métricas)</w:t>
                        </w:r>
                      </w:p>
                    </w:tc>
                  </w:tr>
                  <w:tr>
                    <w:trPr>
                      <w:trHeight w:val="403" w:hRule="exact"/>
                    </w:trPr>
                    <w:tc>
                      <w:tcPr>
                        <w:tcW w:w="646" w:type="dxa"/>
                      </w:tcPr>
                      <w:p>
                        <w:pPr/>
                      </w:p>
                    </w:tc>
                    <w:tc>
                      <w:tcPr>
                        <w:tcW w:w="4494" w:type="dxa"/>
                      </w:tcPr>
                      <w:p>
                        <w:pPr>
                          <w:pStyle w:val="TableParagraph"/>
                          <w:spacing w:before="80"/>
                          <w:rPr>
                            <w:b/>
                            <w:sz w:val="16"/>
                          </w:rPr>
                        </w:pPr>
                        <w:r>
                          <w:rPr>
                            <w:b/>
                            <w:w w:val="100"/>
                            <w:sz w:val="16"/>
                          </w:rPr>
                          <w:t>…</w:t>
                        </w:r>
                      </w:p>
                    </w:tc>
                    <w:tc>
                      <w:tcPr>
                        <w:tcW w:w="1740" w:type="dxa"/>
                      </w:tcPr>
                      <w:p>
                        <w:pPr/>
                      </w:p>
                    </w:tc>
                    <w:tc>
                      <w:tcPr>
                        <w:tcW w:w="1834" w:type="dxa"/>
                      </w:tcPr>
                      <w:p>
                        <w:pPr/>
                      </w:p>
                    </w:tc>
                  </w:tr>
                  <w:tr>
                    <w:trPr>
                      <w:trHeight w:val="1181" w:hRule="exact"/>
                    </w:trPr>
                    <w:tc>
                      <w:tcPr>
                        <w:tcW w:w="646" w:type="dxa"/>
                      </w:tcPr>
                      <w:p>
                        <w:pPr>
                          <w:pStyle w:val="TableParagraph"/>
                          <w:spacing w:before="81"/>
                          <w:rPr>
                            <w:sz w:val="16"/>
                          </w:rPr>
                        </w:pPr>
                        <w:r>
                          <w:rPr>
                            <w:sz w:val="16"/>
                          </w:rPr>
                          <w:t>4.-</w:t>
                        </w:r>
                      </w:p>
                    </w:tc>
                    <w:tc>
                      <w:tcPr>
                        <w:tcW w:w="4494" w:type="dxa"/>
                      </w:tcPr>
                      <w:p>
                        <w:pPr>
                          <w:pStyle w:val="TableParagraph"/>
                          <w:spacing w:line="504" w:lineRule="auto" w:before="81"/>
                          <w:ind w:right="2422"/>
                          <w:rPr>
                            <w:sz w:val="16"/>
                          </w:rPr>
                        </w:pPr>
                        <w:r>
                          <w:rPr>
                            <w:sz w:val="16"/>
                          </w:rPr>
                          <w:t>Bananas o plátanos frescos fracciones arancelarias</w:t>
                        </w:r>
                      </w:p>
                      <w:p>
                        <w:pPr>
                          <w:pStyle w:val="TableParagraph"/>
                          <w:spacing w:before="8"/>
                          <w:rPr>
                            <w:sz w:val="16"/>
                          </w:rPr>
                        </w:pPr>
                        <w:r>
                          <w:rPr>
                            <w:sz w:val="16"/>
                          </w:rPr>
                          <w:t>0803.10.01, 0803.90.99</w:t>
                        </w:r>
                      </w:p>
                    </w:tc>
                    <w:tc>
                      <w:tcPr>
                        <w:tcW w:w="1740" w:type="dxa"/>
                      </w:tcPr>
                      <w:p>
                        <w:pPr>
                          <w:pStyle w:val="TableParagraph"/>
                          <w:spacing w:line="372" w:lineRule="auto" w:before="81"/>
                          <w:ind w:left="376" w:right="66" w:hanging="293"/>
                          <w:rPr>
                            <w:sz w:val="16"/>
                          </w:rPr>
                        </w:pPr>
                        <w:r>
                          <w:rPr>
                            <w:sz w:val="16"/>
                          </w:rPr>
                          <w:t>Del primero al décimo periodo anual</w:t>
                        </w:r>
                      </w:p>
                    </w:tc>
                    <w:tc>
                      <w:tcPr>
                        <w:tcW w:w="1834" w:type="dxa"/>
                      </w:tcPr>
                      <w:p>
                        <w:pPr>
                          <w:pStyle w:val="TableParagraph"/>
                          <w:spacing w:before="81"/>
                          <w:ind w:left="645" w:right="645"/>
                          <w:jc w:val="center"/>
                          <w:rPr>
                            <w:sz w:val="16"/>
                          </w:rPr>
                        </w:pPr>
                        <w:r>
                          <w:rPr>
                            <w:sz w:val="16"/>
                          </w:rPr>
                          <w:t>20,000</w:t>
                        </w:r>
                      </w:p>
                    </w:tc>
                  </w:tr>
                  <w:tr>
                    <w:trPr>
                      <w:trHeight w:val="403" w:hRule="exact"/>
                    </w:trPr>
                    <w:tc>
                      <w:tcPr>
                        <w:tcW w:w="646" w:type="dxa"/>
                      </w:tcPr>
                      <w:p>
                        <w:pPr/>
                      </w:p>
                    </w:tc>
                    <w:tc>
                      <w:tcPr>
                        <w:tcW w:w="4494" w:type="dxa"/>
                      </w:tcPr>
                      <w:p>
                        <w:pPr>
                          <w:pStyle w:val="TableParagraph"/>
                          <w:rPr>
                            <w:b/>
                            <w:sz w:val="16"/>
                          </w:rPr>
                        </w:pPr>
                        <w:r>
                          <w:rPr>
                            <w:b/>
                            <w:sz w:val="16"/>
                          </w:rPr>
                          <w:t>…”</w:t>
                        </w:r>
                      </w:p>
                    </w:tc>
                    <w:tc>
                      <w:tcPr>
                        <w:tcW w:w="1740" w:type="dxa"/>
                      </w:tcPr>
                      <w:p>
                        <w:pPr/>
                      </w:p>
                    </w:tc>
                    <w:tc>
                      <w:tcPr>
                        <w:tcW w:w="1834" w:type="dxa"/>
                      </w:tcPr>
                      <w:p>
                        <w:pPr/>
                      </w:p>
                    </w:tc>
                  </w:tr>
                </w:tbl>
                <w:p>
                  <w:pPr>
                    <w:pStyle w:val="BodyText"/>
                  </w:pPr>
                </w:p>
              </w:txbxContent>
            </v:textbox>
            <w10:wrap type="none"/>
          </v:shape>
        </w:pict>
      </w:r>
      <w:r>
        <w:rPr>
          <w:rFonts w:ascii="Arial" w:hAnsi="Arial"/>
        </w:rPr>
        <w:t>“Artículo Primero.- … Cuadro 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1"/>
        </w:rPr>
      </w:pPr>
    </w:p>
    <w:p>
      <w:pPr>
        <w:spacing w:before="77"/>
        <w:ind w:left="3829" w:right="3829" w:firstLine="0"/>
        <w:jc w:val="center"/>
        <w:rPr>
          <w:rFonts w:ascii="Times New Roman"/>
          <w:b/>
          <w:sz w:val="18"/>
        </w:rPr>
      </w:pPr>
      <w:r>
        <w:rPr>
          <w:rFonts w:ascii="Times New Roman"/>
          <w:b/>
          <w:sz w:val="18"/>
        </w:rPr>
        <w:t>TRANSITORIOS</w:t>
      </w:r>
    </w:p>
    <w:p>
      <w:pPr>
        <w:pStyle w:val="BodyText"/>
        <w:spacing w:before="8"/>
        <w:rPr>
          <w:rFonts w:ascii="Times New Roman"/>
          <w:b/>
          <w:sz w:val="15"/>
        </w:rPr>
      </w:pPr>
    </w:p>
    <w:p>
      <w:pPr>
        <w:pStyle w:val="BodyText"/>
        <w:spacing w:line="333" w:lineRule="auto"/>
        <w:ind w:left="119" w:right="123" w:firstLine="288"/>
        <w:jc w:val="both"/>
      </w:pPr>
      <w:r>
        <w:rPr>
          <w:b/>
        </w:rPr>
        <w:t>PRIMERO.- </w:t>
      </w:r>
      <w:r>
        <w:rPr/>
        <w:t>El presente Acuerdo entrará en vigor el día de su publicación en el Diario Oficial de la Federación.</w:t>
      </w:r>
    </w:p>
    <w:p>
      <w:pPr>
        <w:pStyle w:val="BodyText"/>
        <w:spacing w:line="333" w:lineRule="auto" w:before="101"/>
        <w:ind w:left="119" w:right="113" w:firstLine="288"/>
        <w:jc w:val="both"/>
      </w:pPr>
      <w:r>
        <w:rPr>
          <w:b/>
        </w:rPr>
        <w:t>SEGUNDO.- </w:t>
      </w:r>
      <w:r>
        <w:rPr/>
        <w:t>Al monto del cupo para 2012 establecido en el presente Acuerdo le será descontado la cantidad que a la fecha de entrada en vigor de este ordenamiento, haya sido asignada al amparo de lo establecido en el Acuerdo que se modifica. Al efecto, la Secretaría de Economía dará a conocer en la página de Internet: </w:t>
      </w:r>
      <w:hyperlink r:id="rId7">
        <w:r>
          <w:rPr/>
          <w:t>www.siicex.gob.mx,</w:t>
        </w:r>
      </w:hyperlink>
      <w:r>
        <w:rPr/>
        <w:t> el monto del cupo que a la entrada en vigor del presente Acuerdo esté disponible para ser asignado.</w:t>
      </w:r>
    </w:p>
    <w:p>
      <w:pPr>
        <w:pStyle w:val="BodyText"/>
        <w:spacing w:line="333" w:lineRule="auto" w:before="101"/>
        <w:ind w:left="119" w:right="124" w:firstLine="288"/>
        <w:jc w:val="both"/>
      </w:pPr>
      <w:r>
        <w:rPr>
          <w:b/>
        </w:rPr>
        <w:t>TERCERO.- </w:t>
      </w:r>
      <w:r>
        <w:rPr/>
        <w:t>A las asignaciones y los certificados de cupo expedidos con anterioridad a la entrada en vigor del presente Acuerdo y que continúen vigentes, les serán aplicables las fracciones arancelarias que les correspondan conforme a la Tabla de correlación que dé a conocer la Secretaría de Economía.</w:t>
      </w:r>
    </w:p>
    <w:p>
      <w:pPr>
        <w:spacing w:before="101"/>
        <w:ind w:left="407" w:right="0" w:firstLine="0"/>
        <w:jc w:val="left"/>
        <w:rPr>
          <w:sz w:val="18"/>
        </w:rPr>
      </w:pPr>
      <w:r>
        <w:rPr>
          <w:sz w:val="18"/>
        </w:rPr>
        <w:t>México, D.F., a 14 de junio de 2012.- El Secretario de Economía, </w:t>
      </w:r>
      <w:r>
        <w:rPr>
          <w:b/>
          <w:sz w:val="18"/>
        </w:rPr>
        <w:t>Bruno Ferrari García de Alba</w:t>
      </w:r>
      <w:r>
        <w:rPr>
          <w:sz w:val="18"/>
        </w:rPr>
        <w:t>.- Rúbrica.</w:t>
      </w:r>
    </w:p>
    <w:sectPr>
      <w:headerReference w:type="default" r:id="rId6"/>
      <w:pgSz w:w="12240" w:h="15840"/>
      <w:pgMar w:header="726" w:footer="0" w:top="96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00" from="97.944pt,47.040001pt" to="514.174pt,47.040001pt" stroked="true" strokeweight=".72pt" strokecolor="#000000">
          <w10:wrap type="none"/>
        </v:line>
      </w:pict>
    </w:r>
    <w:r>
      <w:rPr/>
      <w:pict>
        <v:line style="position:absolute;mso-position-horizontal-relative:page;mso-position-vertical-relative:page;z-index:-4576" from="97.944pt,48.48pt" to="514.174pt,48.48pt" stroked="true" strokeweight=".72pt" strokecolor="#000000">
          <w10:wrap type="none"/>
        </v:line>
      </w:pict>
    </w:r>
    <w:r>
      <w:rPr/>
      <w:pict>
        <v:shapetype id="_x0000_t202" o:spt="202" coordsize="21600,21600" path="m,l,21600r21600,l21600,xe">
          <v:stroke joinstyle="miter"/>
          <v:path gradientshapeok="t" o:connecttype="rect"/>
        </v:shapetype>
        <v:shape style="position:absolute;margin-left:98.384003pt;margin-top:35.317936pt;width:94.3pt;height:11pt;mso-position-horizontal-relative:page;mso-position-vertical-relative:page;z-index:-4552" type="#_x0000_t202" filled="false" stroked="false">
          <v:textbox inset="0,0,0,0">
            <w:txbxContent>
              <w:p>
                <w:pPr>
                  <w:pStyle w:val="BodyText"/>
                  <w:spacing w:line="204" w:lineRule="exact"/>
                  <w:ind w:left="20"/>
                  <w:rPr>
                    <w:rFonts w:ascii="Times New Roman"/>
                  </w:rPr>
                </w:pPr>
                <w:r>
                  <w:rPr>
                    <w:rFonts w:ascii="Times New Roman"/>
                  </w:rPr>
                  <w:t>Martes 3 de julio de 2012</w:t>
                </w:r>
              </w:p>
            </w:txbxContent>
          </v:textbox>
          <w10:wrap type="none"/>
        </v:shape>
      </w:pict>
    </w:r>
    <w:r>
      <w:rPr/>
      <w:pict>
        <v:shape style="position:absolute;margin-left:272.649994pt;margin-top:35.317936pt;width:71.25pt;height:11pt;mso-position-horizontal-relative:page;mso-position-vertical-relative:page;z-index:-4528"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47.869995pt;margin-top:35.317936pt;width:67.25pt;height:11pt;mso-position-horizontal-relative:page;mso-position-vertical-relative:page;z-index:-4504" type="#_x0000_t202" filled="false" stroked="false">
          <v:textbox inset="0,0,0,0">
            <w:txbxContent>
              <w:p>
                <w:pPr>
                  <w:pStyle w:val="BodyText"/>
                  <w:spacing w:line="204" w:lineRule="exact"/>
                  <w:ind w:left="20"/>
                  <w:rPr>
                    <w:rFonts w:ascii="Times New Roman" w:hAnsi="Times New Roman"/>
                  </w:rPr>
                </w:pPr>
                <w:r>
                  <w:rPr>
                    <w:rFonts w:ascii="Times New Roman" w:hAnsi="Times New Roman"/>
                  </w:rPr>
                  <w:t>(Primera Sección)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80" from="97.944pt,47.040001pt" to="514.174pt,47.040001pt" stroked="true" strokeweight=".72pt" strokecolor="#000000">
          <w10:wrap type="none"/>
        </v:line>
      </w:pict>
    </w:r>
    <w:r>
      <w:rPr/>
      <w:pict>
        <v:line style="position:absolute;mso-position-horizontal-relative:page;mso-position-vertical-relative:page;z-index:-4456" from="97.944pt,48.48pt" to="514.174pt,48.48pt" stroked="true" strokeweight=".72pt" strokecolor="#000000">
          <w10:wrap type="none"/>
        </v:line>
      </w:pict>
    </w:r>
    <w:r>
      <w:rPr/>
      <w:pict>
        <v:shape style="position:absolute;margin-left:111.940002pt;margin-top:35.317936pt;width:67.150pt;height:11pt;mso-position-horizontal-relative:page;mso-position-vertical-relative:page;z-index:-4432" type="#_x0000_t202" filled="false" stroked="false">
          <v:textbox inset="0,0,0,0">
            <w:txbxContent>
              <w:p>
                <w:pPr>
                  <w:pStyle w:val="BodyText"/>
                  <w:spacing w:line="204" w:lineRule="exact"/>
                  <w:ind w:left="20" w:right="-2"/>
                  <w:rPr>
                    <w:rFonts w:ascii="Times New Roman" w:hAnsi="Times New Roman"/>
                  </w:rPr>
                </w:pPr>
                <w:r>
                  <w:rPr>
                    <w:rFonts w:ascii="Times New Roman" w:hAnsi="Times New Roman"/>
                  </w:rPr>
                  <w:t>(Primera Sección)</w:t>
                </w:r>
              </w:p>
            </w:txbxContent>
          </v:textbox>
          <w10:wrap type="none"/>
        </v:shape>
      </w:pict>
    </w:r>
    <w:r>
      <w:rPr/>
      <w:pict>
        <v:shape style="position:absolute;margin-left:272.649994pt;margin-top:35.317936pt;width:71.25pt;height:11pt;mso-position-horizontal-relative:page;mso-position-vertical-relative:page;z-index:-4408"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20.869995pt;margin-top:35.317936pt;width:94.25pt;height:11pt;mso-position-horizontal-relative:page;mso-position-vertical-relative:page;z-index:-4384" type="#_x0000_t202" filled="false" stroked="false">
          <v:textbox inset="0,0,0,0">
            <w:txbxContent>
              <w:p>
                <w:pPr>
                  <w:pStyle w:val="BodyText"/>
                  <w:spacing w:line="204" w:lineRule="exact"/>
                  <w:ind w:left="20"/>
                  <w:rPr>
                    <w:rFonts w:ascii="Times New Roman"/>
                  </w:rPr>
                </w:pPr>
                <w:r>
                  <w:rPr>
                    <w:rFonts w:ascii="Times New Roman"/>
                  </w:rPr>
                  <w:t>Martes 3 de julio de 2012</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77"/>
      <w:ind w:left="159" w:right="159"/>
      <w:jc w:val="center"/>
      <w:outlineLvl w:val="1"/>
    </w:pPr>
    <w:rPr>
      <w:rFonts w:ascii="Times New Roman" w:hAnsi="Times New Roman" w:eastAsia="Times New Roman" w:cs="Times New Roman"/>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8"/>
      <w:ind w:left="62"/>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siicex.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2016-10-27T16:37:42Z</dcterms:created>
  <dcterms:modified xsi:type="dcterms:W3CDTF">2016-10-27T16:37:42Z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Microsoft® Word 2016</vt:lpwstr>
  </property>
  <property fmtid="{D5CDD505-2E9C-101B-9397-08002B2CF9AE}" pid="4" name="LastSaved">
    <vt:filetime>2016-10-27T00:00:00Z</vt:filetime>
  </property>
</Properties>
</file>