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4B" w:rsidRDefault="00170F4B" w:rsidP="00170F4B">
      <w:pPr>
        <w:pStyle w:val="Titulo1"/>
        <w:spacing w:before="0"/>
        <w:rPr>
          <w:rFonts w:ascii="Arial" w:hAnsi="Arial"/>
          <w:sz w:val="24"/>
          <w:szCs w:val="24"/>
        </w:rPr>
      </w:pPr>
      <w:bookmarkStart w:id="0" w:name="_GoBack"/>
      <w:bookmarkEnd w:id="0"/>
      <w:r w:rsidRPr="003534F1">
        <w:rPr>
          <w:rFonts w:ascii="Arial" w:hAnsi="Arial"/>
          <w:sz w:val="24"/>
          <w:szCs w:val="24"/>
        </w:rPr>
        <w:t>Acuerdo por el que se da a conocer el cupo para importar con el arancel-cupo establecido, filetes de pescado frescos o refrigerados y congelados.</w:t>
      </w:r>
    </w:p>
    <w:p w:rsidR="00170F4B" w:rsidRPr="003534F1" w:rsidRDefault="00170F4B" w:rsidP="00170F4B">
      <w:pPr>
        <w:pStyle w:val="Titulo1"/>
        <w:spacing w:before="0"/>
        <w:jc w:val="center"/>
        <w:rPr>
          <w:rFonts w:ascii="Arial" w:hAnsi="Arial"/>
          <w:b w:val="0"/>
          <w:szCs w:val="24"/>
        </w:rPr>
      </w:pPr>
      <w:r w:rsidRPr="003534F1">
        <w:rPr>
          <w:rFonts w:ascii="Arial" w:hAnsi="Arial"/>
          <w:b w:val="0"/>
          <w:szCs w:val="24"/>
        </w:rPr>
        <w:t>(Publicado en el Diario Oficial de la Federación el 14 de marzo de 2014)</w:t>
      </w:r>
    </w:p>
    <w:p w:rsidR="00170F4B" w:rsidRPr="003534F1" w:rsidRDefault="00170F4B" w:rsidP="00170F4B">
      <w:pPr>
        <w:pStyle w:val="Titulo1"/>
        <w:spacing w:before="0"/>
        <w:jc w:val="center"/>
        <w:rPr>
          <w:rFonts w:ascii="Arial" w:hAnsi="Arial"/>
          <w:b w:val="0"/>
          <w:szCs w:val="24"/>
        </w:rPr>
      </w:pPr>
      <w:r w:rsidRPr="003534F1">
        <w:rPr>
          <w:rFonts w:ascii="Arial" w:hAnsi="Arial"/>
          <w:b w:val="0"/>
          <w:szCs w:val="24"/>
        </w:rPr>
        <w:t xml:space="preserve">(Última reforma publicada DOF </w:t>
      </w:r>
      <w:r>
        <w:rPr>
          <w:rFonts w:ascii="Arial" w:hAnsi="Arial"/>
          <w:b w:val="0"/>
          <w:szCs w:val="24"/>
        </w:rPr>
        <w:t>02-11-17</w:t>
      </w:r>
      <w:r w:rsidRPr="003534F1">
        <w:rPr>
          <w:rFonts w:ascii="Arial" w:hAnsi="Arial"/>
          <w:b w:val="0"/>
          <w:szCs w:val="24"/>
        </w:rPr>
        <w:t>)</w:t>
      </w:r>
    </w:p>
    <w:p w:rsidR="00170F4B" w:rsidRDefault="00170F4B" w:rsidP="00170F4B">
      <w:pPr>
        <w:pStyle w:val="Titulo2"/>
        <w:spacing w:after="0"/>
        <w:rPr>
          <w:sz w:val="24"/>
          <w:szCs w:val="24"/>
        </w:rPr>
      </w:pPr>
      <w:r w:rsidRPr="003534F1">
        <w:rPr>
          <w:sz w:val="24"/>
          <w:szCs w:val="24"/>
        </w:rPr>
        <w:t xml:space="preserve">Al margen un sello con el Escudo Nacional, que dice: Estados Unidos </w:t>
      </w:r>
      <w:r w:rsidR="000C5E72" w:rsidRPr="003534F1">
        <w:rPr>
          <w:sz w:val="24"/>
          <w:szCs w:val="24"/>
        </w:rPr>
        <w:t>Mexicanos. -</w:t>
      </w:r>
      <w:r w:rsidRPr="003534F1">
        <w:rPr>
          <w:sz w:val="24"/>
          <w:szCs w:val="24"/>
        </w:rPr>
        <w:t xml:space="preserve"> Secretaría de Economía.</w:t>
      </w:r>
    </w:p>
    <w:p w:rsidR="00170F4B" w:rsidRPr="003534F1" w:rsidRDefault="00170F4B" w:rsidP="00170F4B">
      <w:pPr>
        <w:pStyle w:val="Titulo2"/>
        <w:spacing w:after="0"/>
        <w:rPr>
          <w:sz w:val="24"/>
          <w:szCs w:val="24"/>
        </w:rPr>
      </w:pPr>
    </w:p>
    <w:p w:rsidR="00170F4B" w:rsidRDefault="00170F4B" w:rsidP="00170F4B">
      <w:pPr>
        <w:pStyle w:val="Texto"/>
        <w:spacing w:after="0" w:line="240" w:lineRule="auto"/>
        <w:rPr>
          <w:sz w:val="24"/>
          <w:szCs w:val="24"/>
        </w:rPr>
      </w:pPr>
      <w:r w:rsidRPr="003534F1">
        <w:rPr>
          <w:sz w:val="24"/>
          <w:szCs w:val="24"/>
        </w:rPr>
        <w:t>Con fundamento en los artículos 34 fracciones I y XXXI de la Ley Orgánica de la Administración Pública Federal; 4o. fracción III, 5o. fracción V, 17, 20, 23 y 24 de la Ley de Comercio Exterior; 31 y 33 del Reglamento de la Ley de Comercio Exterior; y 5, fracción XVI del Reglamento Interior de la Secretaría de Economía, y</w:t>
      </w:r>
    </w:p>
    <w:p w:rsidR="00170F4B" w:rsidRPr="003534F1" w:rsidRDefault="00170F4B" w:rsidP="00170F4B">
      <w:pPr>
        <w:pStyle w:val="Texto"/>
        <w:spacing w:after="0" w:line="240" w:lineRule="auto"/>
        <w:rPr>
          <w:sz w:val="24"/>
          <w:szCs w:val="24"/>
        </w:rPr>
      </w:pPr>
    </w:p>
    <w:p w:rsidR="00170F4B" w:rsidRDefault="00170F4B" w:rsidP="00170F4B">
      <w:pPr>
        <w:pStyle w:val="ANOTACION"/>
        <w:spacing w:before="0" w:after="0" w:line="240" w:lineRule="auto"/>
        <w:rPr>
          <w:rFonts w:ascii="Arial" w:hAnsi="Arial" w:cs="Arial"/>
          <w:sz w:val="24"/>
          <w:szCs w:val="24"/>
        </w:rPr>
      </w:pPr>
      <w:r w:rsidRPr="003534F1">
        <w:rPr>
          <w:rFonts w:ascii="Arial" w:hAnsi="Arial" w:cs="Arial"/>
          <w:sz w:val="24"/>
          <w:szCs w:val="24"/>
        </w:rPr>
        <w:t>CONSIDERANDO</w:t>
      </w:r>
    </w:p>
    <w:p w:rsidR="00170F4B" w:rsidRPr="003534F1" w:rsidRDefault="00170F4B" w:rsidP="00170F4B">
      <w:pPr>
        <w:pStyle w:val="ANOTACION"/>
        <w:spacing w:before="0" w:after="0" w:line="240" w:lineRule="auto"/>
        <w:rPr>
          <w:rFonts w:ascii="Arial" w:hAnsi="Arial" w:cs="Arial"/>
          <w:sz w:val="24"/>
          <w:szCs w:val="24"/>
        </w:rPr>
      </w:pPr>
    </w:p>
    <w:p w:rsidR="00170F4B" w:rsidRDefault="00170F4B" w:rsidP="00170F4B">
      <w:pPr>
        <w:pStyle w:val="Texto"/>
        <w:spacing w:after="0" w:line="240" w:lineRule="auto"/>
        <w:rPr>
          <w:sz w:val="24"/>
          <w:szCs w:val="24"/>
        </w:rPr>
      </w:pPr>
      <w:r w:rsidRPr="003534F1">
        <w:rPr>
          <w:sz w:val="24"/>
          <w:szCs w:val="24"/>
        </w:rPr>
        <w:t>Que mediante Decreto publicado en el Diario Oficial de la Federación el 13 de diciembre de 2013, el Ejecutivo Federal modificó la Tarifa de la Ley de los Impuestos Generales de Importación y de Exportación, estableció un arancel-cupo exento aplicable a las fracciones arancelarias 0304.31.01, 0304.32.01, 0304.61.01 y 0304.62.01, correspondientes a filetes de pescado, frescos o refrigerados y congelados, cuando el importador cuente con certificado de cupo expedido por la Secretaría de Economía;</w:t>
      </w:r>
    </w:p>
    <w:p w:rsidR="00170F4B" w:rsidRPr="003534F1"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3534F1">
        <w:rPr>
          <w:sz w:val="24"/>
          <w:szCs w:val="24"/>
        </w:rPr>
        <w:lastRenderedPageBreak/>
        <w:t>Que los filetes de pescado son alimentos con una alta fuente de proteínas que aportan grandes beneficios al ser humano, y su consumo ha aumentado de manera importante en los últimos años;</w:t>
      </w:r>
    </w:p>
    <w:p w:rsidR="00170F4B" w:rsidRPr="003534F1"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3534F1">
        <w:rPr>
          <w:sz w:val="24"/>
          <w:szCs w:val="24"/>
        </w:rPr>
        <w:t>Que la producción nacional de las especies pesqueras tilapia y bagre es insuficiente para cubrir la demanda de las mismas, por lo que resulta necesario complementar la oferta interna con importaciones, las cuales han mantenido una marcada tendencia al alza;</w:t>
      </w:r>
    </w:p>
    <w:p w:rsidR="00170F4B" w:rsidRPr="003534F1"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3534F1">
        <w:rPr>
          <w:sz w:val="24"/>
          <w:szCs w:val="24"/>
        </w:rPr>
        <w:t>Que más de la mitad de las importaciones de filetes de pescado son originarias de países con los que los Estados Unidos Mexicanos no tiene acuerdos comerciales suscritos;</w:t>
      </w:r>
    </w:p>
    <w:p w:rsidR="00170F4B" w:rsidRPr="003534F1"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3534F1">
        <w:rPr>
          <w:sz w:val="24"/>
          <w:szCs w:val="24"/>
        </w:rPr>
        <w:lastRenderedPageBreak/>
        <w:t>Que corresponde a la Secretaría de Economía formular y conducir las políticas generales de industria, comercio exterior, interior, abasto y precios del país, y</w:t>
      </w:r>
    </w:p>
    <w:p w:rsidR="00170F4B" w:rsidRPr="003534F1"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3534F1">
        <w:rPr>
          <w:sz w:val="24"/>
          <w:szCs w:val="24"/>
        </w:rPr>
        <w:t>Que,</w:t>
      </w:r>
      <w:r w:rsidR="00170F4B" w:rsidRPr="003534F1">
        <w:rPr>
          <w:sz w:val="24"/>
          <w:szCs w:val="24"/>
        </w:rPr>
        <w:t xml:space="preserve"> conforme a lo dispuesto en la Ley de Comercio Exterior, la medida a que se refiere el presente ordenamiento cuenta con la opinión favorable de la Comisión de Comercio Exterior, y se expide el siguiente:</w:t>
      </w:r>
    </w:p>
    <w:p w:rsidR="00170F4B" w:rsidRPr="003534F1" w:rsidRDefault="00170F4B" w:rsidP="00170F4B">
      <w:pPr>
        <w:pStyle w:val="Texto"/>
        <w:spacing w:after="0" w:line="240" w:lineRule="auto"/>
        <w:rPr>
          <w:sz w:val="24"/>
          <w:szCs w:val="24"/>
        </w:rPr>
      </w:pPr>
    </w:p>
    <w:p w:rsidR="00170F4B" w:rsidRDefault="00170F4B" w:rsidP="00170F4B">
      <w:pPr>
        <w:pStyle w:val="ANOTACION"/>
        <w:spacing w:before="0" w:after="0" w:line="240" w:lineRule="auto"/>
        <w:rPr>
          <w:rFonts w:ascii="Arial" w:hAnsi="Arial" w:cs="Arial"/>
          <w:sz w:val="24"/>
          <w:szCs w:val="24"/>
        </w:rPr>
      </w:pPr>
      <w:r w:rsidRPr="003534F1">
        <w:rPr>
          <w:rFonts w:ascii="Arial" w:hAnsi="Arial" w:cs="Arial"/>
          <w:sz w:val="24"/>
          <w:szCs w:val="24"/>
        </w:rPr>
        <w:t>ACUERDO POR EL QUE SE DA A CONOCER EL CUPO PARA IMPORTAR CON EL ARANCEL-CUPO ESTABLECIDO, FILETES DE PESCADO FRESCOS O REFRIGERADOS Y CONGELADOS</w:t>
      </w:r>
    </w:p>
    <w:p w:rsidR="00170F4B" w:rsidRPr="003534F1" w:rsidRDefault="00170F4B" w:rsidP="00170F4B">
      <w:pPr>
        <w:pStyle w:val="ANOTACION"/>
        <w:spacing w:before="0" w:after="0" w:line="240" w:lineRule="auto"/>
        <w:rPr>
          <w:rFonts w:ascii="Arial" w:hAnsi="Arial" w:cs="Arial"/>
          <w:sz w:val="24"/>
          <w:szCs w:val="24"/>
        </w:rPr>
      </w:pPr>
    </w:p>
    <w:p w:rsidR="00170F4B" w:rsidRDefault="000C5E72" w:rsidP="00170F4B">
      <w:pPr>
        <w:pStyle w:val="Texto"/>
        <w:spacing w:after="0" w:line="240" w:lineRule="auto"/>
        <w:rPr>
          <w:sz w:val="24"/>
          <w:szCs w:val="24"/>
        </w:rPr>
      </w:pPr>
      <w:r w:rsidRPr="003534F1">
        <w:rPr>
          <w:b/>
          <w:sz w:val="24"/>
          <w:szCs w:val="24"/>
        </w:rPr>
        <w:lastRenderedPageBreak/>
        <w:t>Primero. -</w:t>
      </w:r>
      <w:r w:rsidR="00170F4B" w:rsidRPr="003534F1">
        <w:rPr>
          <w:sz w:val="24"/>
          <w:szCs w:val="24"/>
        </w:rPr>
        <w:t xml:space="preserve"> Se establece un cupo agregado para importar, en el periodo enero-diciembre de cada año, filetes de pescado frescos o refrigerados, y congelados, libre de arancel, de conformidad con lo establecido por el Ejecutivo Federal en el Decreto por el que se modifica la Tarifa de la Ley de los Impuestos Generales de Importación y de Exportación, publicado en el Diario Oficial de la Federación el 13 de diciembre de 2013, como se indica en la siguiente tabla:</w:t>
      </w:r>
    </w:p>
    <w:p w:rsidR="00170F4B" w:rsidRPr="003534F1" w:rsidRDefault="00170F4B" w:rsidP="00170F4B">
      <w:pPr>
        <w:pStyle w:val="Texto"/>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608"/>
        <w:gridCol w:w="5545"/>
        <w:gridCol w:w="1559"/>
      </w:tblGrid>
      <w:tr w:rsidR="00170F4B" w:rsidRPr="003534F1" w:rsidTr="004C761C">
        <w:trPr>
          <w:trHeight w:val="144"/>
        </w:trPr>
        <w:tc>
          <w:tcPr>
            <w:tcW w:w="1608" w:type="dxa"/>
            <w:tcBorders>
              <w:top w:val="single" w:sz="6" w:space="0" w:color="auto"/>
              <w:left w:val="single" w:sz="6" w:space="0" w:color="auto"/>
              <w:bottom w:val="single" w:sz="6" w:space="0" w:color="auto"/>
              <w:right w:val="single" w:sz="6" w:space="0" w:color="auto"/>
            </w:tcBorders>
            <w:noWrap/>
            <w:vAlign w:val="center"/>
          </w:tcPr>
          <w:p w:rsidR="00170F4B" w:rsidRPr="003534F1" w:rsidRDefault="00170F4B" w:rsidP="00170F4B">
            <w:pPr>
              <w:pStyle w:val="Texto"/>
              <w:spacing w:after="0" w:line="240" w:lineRule="auto"/>
              <w:ind w:firstLine="0"/>
              <w:jc w:val="center"/>
              <w:rPr>
                <w:b/>
                <w:sz w:val="20"/>
              </w:rPr>
            </w:pPr>
            <w:r w:rsidRPr="003534F1">
              <w:rPr>
                <w:b/>
                <w:sz w:val="20"/>
              </w:rPr>
              <w:t>Código</w:t>
            </w:r>
          </w:p>
        </w:tc>
        <w:tc>
          <w:tcPr>
            <w:tcW w:w="5545"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jc w:val="center"/>
              <w:rPr>
                <w:b/>
                <w:sz w:val="20"/>
              </w:rPr>
            </w:pPr>
            <w:r w:rsidRPr="003534F1">
              <w:rPr>
                <w:b/>
                <w:sz w:val="20"/>
              </w:rPr>
              <w:t>Descripción</w:t>
            </w:r>
          </w:p>
        </w:tc>
        <w:tc>
          <w:tcPr>
            <w:tcW w:w="1559"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jc w:val="center"/>
              <w:rPr>
                <w:b/>
                <w:sz w:val="20"/>
              </w:rPr>
            </w:pPr>
            <w:r w:rsidRPr="003534F1">
              <w:rPr>
                <w:b/>
                <w:sz w:val="20"/>
              </w:rPr>
              <w:t>Monto en toneladas</w:t>
            </w:r>
          </w:p>
        </w:tc>
      </w:tr>
      <w:tr w:rsidR="00170F4B" w:rsidRPr="003534F1" w:rsidTr="004C761C">
        <w:trPr>
          <w:trHeight w:val="144"/>
        </w:trPr>
        <w:tc>
          <w:tcPr>
            <w:tcW w:w="1608"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0304.31.01</w:t>
            </w:r>
          </w:p>
        </w:tc>
        <w:tc>
          <w:tcPr>
            <w:tcW w:w="5545"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De tilapias (Oreochromis spp.)</w:t>
            </w:r>
          </w:p>
        </w:tc>
        <w:tc>
          <w:tcPr>
            <w:tcW w:w="1559" w:type="dxa"/>
            <w:vMerge w:val="restart"/>
            <w:tcBorders>
              <w:top w:val="single" w:sz="6" w:space="0" w:color="auto"/>
              <w:left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55,000 por año</w:t>
            </w:r>
          </w:p>
        </w:tc>
      </w:tr>
      <w:tr w:rsidR="00170F4B" w:rsidRPr="003534F1" w:rsidTr="004C761C">
        <w:trPr>
          <w:trHeight w:val="144"/>
        </w:trPr>
        <w:tc>
          <w:tcPr>
            <w:tcW w:w="1608"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0304.32.01</w:t>
            </w:r>
          </w:p>
        </w:tc>
        <w:tc>
          <w:tcPr>
            <w:tcW w:w="5545"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De bagre o pez gato (Pangasius spp., Silurus spp., Clarias spp., Ictalurus spp.)</w:t>
            </w:r>
          </w:p>
        </w:tc>
        <w:tc>
          <w:tcPr>
            <w:tcW w:w="1559" w:type="dxa"/>
            <w:vMerge/>
            <w:tcBorders>
              <w:left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p>
        </w:tc>
      </w:tr>
      <w:tr w:rsidR="00170F4B" w:rsidRPr="003534F1" w:rsidTr="004C761C">
        <w:trPr>
          <w:trHeight w:val="144"/>
        </w:trPr>
        <w:tc>
          <w:tcPr>
            <w:tcW w:w="1608"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0304.61.01</w:t>
            </w:r>
          </w:p>
        </w:tc>
        <w:tc>
          <w:tcPr>
            <w:tcW w:w="5545"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De tilapias (Oreochromis spp.).</w:t>
            </w:r>
          </w:p>
        </w:tc>
        <w:tc>
          <w:tcPr>
            <w:tcW w:w="1559" w:type="dxa"/>
            <w:vMerge/>
            <w:tcBorders>
              <w:left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p>
        </w:tc>
      </w:tr>
      <w:tr w:rsidR="00170F4B" w:rsidRPr="003534F1" w:rsidTr="004C761C">
        <w:trPr>
          <w:trHeight w:val="144"/>
        </w:trPr>
        <w:tc>
          <w:tcPr>
            <w:tcW w:w="1608"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0304.62.01</w:t>
            </w:r>
          </w:p>
        </w:tc>
        <w:tc>
          <w:tcPr>
            <w:tcW w:w="5545" w:type="dxa"/>
            <w:tcBorders>
              <w:top w:val="single" w:sz="6" w:space="0" w:color="auto"/>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r w:rsidRPr="003534F1">
              <w:rPr>
                <w:sz w:val="20"/>
              </w:rPr>
              <w:t>De bagre o pez gato (Pangasius spp., Silurus spp., Clarias spp., Ictalurus spp.)</w:t>
            </w:r>
          </w:p>
        </w:tc>
        <w:tc>
          <w:tcPr>
            <w:tcW w:w="1559" w:type="dxa"/>
            <w:vMerge/>
            <w:tcBorders>
              <w:left w:val="single" w:sz="6" w:space="0" w:color="auto"/>
              <w:bottom w:val="single" w:sz="6" w:space="0" w:color="auto"/>
              <w:right w:val="single" w:sz="6" w:space="0" w:color="auto"/>
            </w:tcBorders>
            <w:vAlign w:val="center"/>
          </w:tcPr>
          <w:p w:rsidR="00170F4B" w:rsidRPr="003534F1" w:rsidRDefault="00170F4B" w:rsidP="00170F4B">
            <w:pPr>
              <w:pStyle w:val="Texto"/>
              <w:spacing w:after="0" w:line="240" w:lineRule="auto"/>
              <w:ind w:firstLine="0"/>
              <w:rPr>
                <w:sz w:val="20"/>
              </w:rPr>
            </w:pPr>
          </w:p>
        </w:tc>
      </w:tr>
    </w:tbl>
    <w:p w:rsidR="00170F4B" w:rsidRPr="003534F1"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3534F1">
        <w:rPr>
          <w:b/>
          <w:sz w:val="24"/>
          <w:szCs w:val="24"/>
        </w:rPr>
        <w:lastRenderedPageBreak/>
        <w:t>Segundo. -</w:t>
      </w:r>
      <w:r w:rsidR="00170F4B" w:rsidRPr="003534F1">
        <w:rPr>
          <w:b/>
          <w:sz w:val="24"/>
          <w:szCs w:val="24"/>
        </w:rPr>
        <w:t xml:space="preserve"> </w:t>
      </w:r>
      <w:r w:rsidR="00170F4B" w:rsidRPr="003534F1">
        <w:rPr>
          <w:sz w:val="24"/>
          <w:szCs w:val="24"/>
        </w:rPr>
        <w:t>El cupo a que se refiere el punto Primero del presente Acuerdo se asignará bajo el</w:t>
      </w:r>
      <w:r w:rsidR="00170F4B">
        <w:rPr>
          <w:sz w:val="24"/>
          <w:szCs w:val="24"/>
        </w:rPr>
        <w:t xml:space="preserve"> </w:t>
      </w:r>
      <w:r w:rsidR="00170F4B" w:rsidRPr="003534F1">
        <w:rPr>
          <w:sz w:val="24"/>
          <w:szCs w:val="24"/>
        </w:rPr>
        <w:t>mecanismo de licitación pública y se adjudicará de la siguiente manera:</w:t>
      </w:r>
    </w:p>
    <w:p w:rsidR="00170F4B" w:rsidRPr="003534F1" w:rsidRDefault="00170F4B" w:rsidP="00170F4B">
      <w:pPr>
        <w:pStyle w:val="Texto"/>
        <w:spacing w:after="0" w:line="240" w:lineRule="auto"/>
        <w:rPr>
          <w:sz w:val="24"/>
          <w:szCs w:val="24"/>
        </w:rPr>
      </w:pPr>
    </w:p>
    <w:p w:rsidR="00170F4B" w:rsidRDefault="00170F4B" w:rsidP="00170F4B">
      <w:pPr>
        <w:pStyle w:val="Texto"/>
        <w:numPr>
          <w:ilvl w:val="0"/>
          <w:numId w:val="1"/>
        </w:numPr>
        <w:spacing w:after="0" w:line="240" w:lineRule="auto"/>
        <w:rPr>
          <w:sz w:val="24"/>
          <w:szCs w:val="24"/>
        </w:rPr>
      </w:pPr>
      <w:r w:rsidRPr="003534F1">
        <w:rPr>
          <w:sz w:val="24"/>
          <w:szCs w:val="24"/>
        </w:rPr>
        <w:t>30% para el periodo enero-mayo de cada año.</w:t>
      </w:r>
    </w:p>
    <w:p w:rsidR="00170F4B" w:rsidRPr="003534F1" w:rsidRDefault="00170F4B" w:rsidP="00170F4B">
      <w:pPr>
        <w:pStyle w:val="Texto"/>
        <w:spacing w:after="0" w:line="240" w:lineRule="auto"/>
        <w:ind w:left="720" w:firstLine="0"/>
        <w:rPr>
          <w:sz w:val="24"/>
          <w:szCs w:val="24"/>
        </w:rPr>
      </w:pPr>
    </w:p>
    <w:p w:rsidR="00170F4B" w:rsidRDefault="00170F4B" w:rsidP="00170F4B">
      <w:pPr>
        <w:pStyle w:val="Texto"/>
        <w:numPr>
          <w:ilvl w:val="0"/>
          <w:numId w:val="1"/>
        </w:numPr>
        <w:spacing w:after="0" w:line="240" w:lineRule="auto"/>
        <w:rPr>
          <w:sz w:val="24"/>
          <w:szCs w:val="24"/>
        </w:rPr>
      </w:pPr>
      <w:r w:rsidRPr="003534F1">
        <w:rPr>
          <w:sz w:val="24"/>
          <w:szCs w:val="24"/>
        </w:rPr>
        <w:t>70% para el periodo junio-diciembre de cada año</w:t>
      </w:r>
      <w:r>
        <w:rPr>
          <w:sz w:val="24"/>
          <w:szCs w:val="24"/>
        </w:rPr>
        <w:t>.</w:t>
      </w:r>
    </w:p>
    <w:p w:rsidR="00170F4B"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170F4B">
        <w:rPr>
          <w:sz w:val="24"/>
          <w:szCs w:val="24"/>
        </w:rPr>
        <w:t xml:space="preserve">Si como resultado de la licitación existe un remanente por incumplimiento a los requisitos previstos en las bases de licitación, la Dirección General de Comercio Exterior llevará a cabo una segunda licitación en los mismos términos que la primera, para lo cual, dicha </w:t>
      </w:r>
      <w:r w:rsidRPr="00170F4B">
        <w:rPr>
          <w:sz w:val="24"/>
          <w:szCs w:val="24"/>
        </w:rPr>
        <w:lastRenderedPageBreak/>
        <w:t>autoridad emitirá y publicará la convocatoria y bases correspondientes en términos de la Ley de Comercio Exterior y su Reglamento.</w:t>
      </w:r>
    </w:p>
    <w:p w:rsidR="00FB5112" w:rsidRDefault="00FB5112" w:rsidP="00170F4B">
      <w:pPr>
        <w:pStyle w:val="Texto"/>
        <w:spacing w:after="0" w:line="240" w:lineRule="auto"/>
        <w:rPr>
          <w:sz w:val="24"/>
          <w:szCs w:val="24"/>
        </w:rPr>
      </w:pPr>
    </w:p>
    <w:p w:rsidR="00170F4B" w:rsidRDefault="00170F4B" w:rsidP="00170F4B">
      <w:pPr>
        <w:pStyle w:val="Prrafodelista"/>
        <w:ind w:left="0"/>
        <w:jc w:val="right"/>
        <w:rPr>
          <w:rFonts w:ascii="Arial" w:hAnsi="Arial" w:cs="Arial"/>
          <w:b/>
          <w:i/>
          <w:color w:val="0070C0"/>
          <w:sz w:val="18"/>
          <w:szCs w:val="18"/>
        </w:rPr>
      </w:pPr>
      <w:r w:rsidRPr="003534F1">
        <w:rPr>
          <w:rFonts w:ascii="Arial" w:hAnsi="Arial" w:cs="Arial"/>
          <w:b/>
          <w:i/>
          <w:color w:val="0070C0"/>
          <w:sz w:val="18"/>
          <w:szCs w:val="18"/>
        </w:rPr>
        <w:t xml:space="preserve">Punto reformado DOF </w:t>
      </w:r>
      <w:r>
        <w:rPr>
          <w:rFonts w:ascii="Arial" w:hAnsi="Arial" w:cs="Arial"/>
          <w:b/>
          <w:i/>
          <w:color w:val="0070C0"/>
          <w:sz w:val="18"/>
          <w:szCs w:val="18"/>
        </w:rPr>
        <w:t>02-11-17</w:t>
      </w:r>
    </w:p>
    <w:p w:rsidR="00170F4B" w:rsidRPr="00170F4B"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3534F1">
        <w:rPr>
          <w:b/>
          <w:sz w:val="24"/>
          <w:szCs w:val="24"/>
        </w:rPr>
        <w:t>Tercero. -</w:t>
      </w:r>
      <w:r w:rsidR="00170F4B" w:rsidRPr="003534F1">
        <w:rPr>
          <w:sz w:val="24"/>
          <w:szCs w:val="24"/>
        </w:rPr>
        <w:t xml:space="preserve"> </w:t>
      </w:r>
      <w:r w:rsidR="00170F4B" w:rsidRPr="00EA4BD6">
        <w:rPr>
          <w:sz w:val="24"/>
          <w:szCs w:val="24"/>
        </w:rPr>
        <w:t>Podrán participar en la licitación pública las personas físicas y morales establecidas en los</w:t>
      </w:r>
      <w:r w:rsidR="00170F4B">
        <w:rPr>
          <w:sz w:val="24"/>
          <w:szCs w:val="24"/>
        </w:rPr>
        <w:t xml:space="preserve"> </w:t>
      </w:r>
      <w:r w:rsidR="00170F4B" w:rsidRPr="00EA4BD6">
        <w:rPr>
          <w:sz w:val="24"/>
          <w:szCs w:val="24"/>
        </w:rPr>
        <w:t>Estados Unidos Mexicanos que cumplan con los requisitos previstos en las bases de la licitación pública.</w:t>
      </w:r>
    </w:p>
    <w:p w:rsidR="00170F4B" w:rsidRPr="00EA4BD6"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EA4BD6">
        <w:rPr>
          <w:sz w:val="24"/>
          <w:szCs w:val="24"/>
        </w:rPr>
        <w:t>Los interesados deberán presentar su oferta en el formato correspondiente al trámite SE-03-034</w:t>
      </w:r>
      <w:r>
        <w:rPr>
          <w:sz w:val="24"/>
          <w:szCs w:val="24"/>
        </w:rPr>
        <w:t xml:space="preserve"> </w:t>
      </w:r>
      <w:r w:rsidRPr="00EA4BD6">
        <w:rPr>
          <w:sz w:val="24"/>
          <w:szCs w:val="24"/>
        </w:rPr>
        <w:t xml:space="preserve">“Asignación de cupo de importación </w:t>
      </w:r>
      <w:r w:rsidRPr="00EA4BD6">
        <w:rPr>
          <w:sz w:val="24"/>
          <w:szCs w:val="24"/>
        </w:rPr>
        <w:lastRenderedPageBreak/>
        <w:t>y exportación a través de licitación pública”, adjuntando la documentación</w:t>
      </w:r>
      <w:r>
        <w:rPr>
          <w:sz w:val="24"/>
          <w:szCs w:val="24"/>
        </w:rPr>
        <w:t xml:space="preserve"> </w:t>
      </w:r>
      <w:r w:rsidRPr="00EA4BD6">
        <w:rPr>
          <w:sz w:val="24"/>
          <w:szCs w:val="24"/>
        </w:rPr>
        <w:t>que corresponda conforme a las bases de la licitación.</w:t>
      </w:r>
    </w:p>
    <w:p w:rsidR="00170F4B" w:rsidRDefault="00170F4B" w:rsidP="00170F4B">
      <w:pPr>
        <w:pStyle w:val="Prrafodelista"/>
        <w:ind w:left="0"/>
        <w:jc w:val="right"/>
        <w:rPr>
          <w:rFonts w:ascii="Arial" w:hAnsi="Arial" w:cs="Arial"/>
          <w:b/>
          <w:i/>
          <w:color w:val="0070C0"/>
          <w:sz w:val="18"/>
          <w:szCs w:val="18"/>
        </w:rPr>
      </w:pPr>
      <w:r w:rsidRPr="003534F1">
        <w:rPr>
          <w:rFonts w:ascii="Arial" w:hAnsi="Arial" w:cs="Arial"/>
          <w:b/>
          <w:i/>
          <w:color w:val="0070C0"/>
          <w:sz w:val="18"/>
          <w:szCs w:val="18"/>
        </w:rPr>
        <w:t>Punto reformado DOF 31-12-14</w:t>
      </w:r>
    </w:p>
    <w:p w:rsidR="00170F4B" w:rsidRPr="003534F1"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3534F1">
        <w:rPr>
          <w:b/>
          <w:sz w:val="24"/>
          <w:szCs w:val="24"/>
        </w:rPr>
        <w:t>Cuarto.-</w:t>
      </w:r>
      <w:r w:rsidRPr="003534F1">
        <w:rPr>
          <w:sz w:val="24"/>
          <w:szCs w:val="24"/>
        </w:rPr>
        <w:t xml:space="preserve"> </w:t>
      </w:r>
      <w:r w:rsidRPr="00EA4BD6">
        <w:rPr>
          <w:sz w:val="24"/>
          <w:szCs w:val="24"/>
        </w:rPr>
        <w:t>Una vez obtenida la adjudicación, el beneficiario deberá solicitar la expedición del certificado de cupo mediante la presentación del formato correspondiente al trámite SE-03-043 “Expedición de certificado de cupo obtenido por licitación pública” en la ventanilla de atención al público de la Representación Federal de la Secretaría de Economía que corresponda o a través de la Ventanilla Digital Mexicana de Comercio Exterior en la dirección electrónica www.ventanillaunica.gob.mx, adjuntando el comprobante del pago correspon</w:t>
      </w:r>
      <w:r w:rsidRPr="00EA4BD6">
        <w:rPr>
          <w:sz w:val="24"/>
          <w:szCs w:val="24"/>
        </w:rPr>
        <w:lastRenderedPageBreak/>
        <w:t>diente a la adjudicación. La Secretaría de Economía emitirá el certificado de cupo dentro de los dos días hábiles siguientes a la presentación de la solicitud.</w:t>
      </w:r>
    </w:p>
    <w:p w:rsidR="00170F4B" w:rsidRDefault="00170F4B" w:rsidP="00170F4B">
      <w:pPr>
        <w:pStyle w:val="Prrafodelista"/>
        <w:ind w:left="0"/>
        <w:jc w:val="right"/>
        <w:rPr>
          <w:rFonts w:ascii="Arial" w:hAnsi="Arial" w:cs="Arial"/>
          <w:b/>
          <w:i/>
          <w:color w:val="0070C0"/>
          <w:sz w:val="18"/>
          <w:szCs w:val="18"/>
        </w:rPr>
      </w:pPr>
      <w:r w:rsidRPr="003534F1">
        <w:rPr>
          <w:rFonts w:ascii="Arial" w:hAnsi="Arial" w:cs="Arial"/>
          <w:b/>
          <w:i/>
          <w:color w:val="0070C0"/>
          <w:sz w:val="18"/>
          <w:szCs w:val="18"/>
        </w:rPr>
        <w:t>Punto reformado DOF 31-12-14</w:t>
      </w:r>
    </w:p>
    <w:p w:rsidR="00170F4B" w:rsidRPr="003534F1"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3534F1">
        <w:rPr>
          <w:b/>
          <w:sz w:val="24"/>
          <w:szCs w:val="24"/>
        </w:rPr>
        <w:t>Quinto. -</w:t>
      </w:r>
      <w:r w:rsidR="00170F4B" w:rsidRPr="003534F1">
        <w:rPr>
          <w:b/>
          <w:sz w:val="24"/>
          <w:szCs w:val="24"/>
        </w:rPr>
        <w:t xml:space="preserve"> </w:t>
      </w:r>
      <w:r w:rsidR="00170F4B" w:rsidRPr="00EA4BD6">
        <w:rPr>
          <w:sz w:val="24"/>
          <w:szCs w:val="24"/>
        </w:rPr>
        <w:t>Los certificados de cupo que se expidan conforme al punto anterior serán nominativos, transferibles y su vigencia será al 31 de mayo o al 31 de diciembre de cada año, según corresponda el periodo de adjudicación.</w:t>
      </w:r>
    </w:p>
    <w:p w:rsidR="00170F4B" w:rsidRDefault="00170F4B" w:rsidP="00170F4B">
      <w:pPr>
        <w:pStyle w:val="Prrafodelista"/>
        <w:ind w:left="0"/>
        <w:jc w:val="right"/>
        <w:rPr>
          <w:rFonts w:ascii="Arial" w:hAnsi="Arial" w:cs="Arial"/>
          <w:b/>
          <w:i/>
          <w:color w:val="0070C0"/>
          <w:sz w:val="18"/>
          <w:szCs w:val="18"/>
        </w:rPr>
      </w:pPr>
      <w:r w:rsidRPr="003534F1">
        <w:rPr>
          <w:rFonts w:ascii="Arial" w:hAnsi="Arial" w:cs="Arial"/>
          <w:b/>
          <w:i/>
          <w:color w:val="0070C0"/>
          <w:sz w:val="18"/>
          <w:szCs w:val="18"/>
        </w:rPr>
        <w:t>Punto reformado DOF 31-12-14</w:t>
      </w:r>
    </w:p>
    <w:p w:rsidR="00170F4B" w:rsidRPr="00170F4B" w:rsidRDefault="00170F4B" w:rsidP="00170F4B">
      <w:pPr>
        <w:pStyle w:val="Texto"/>
        <w:spacing w:after="0" w:line="240" w:lineRule="auto"/>
        <w:rPr>
          <w:sz w:val="24"/>
        </w:rPr>
      </w:pPr>
    </w:p>
    <w:p w:rsidR="00170F4B" w:rsidRDefault="000C5E72" w:rsidP="00170F4B">
      <w:pPr>
        <w:pStyle w:val="Texto"/>
        <w:spacing w:after="0" w:line="240" w:lineRule="auto"/>
        <w:rPr>
          <w:sz w:val="24"/>
          <w:szCs w:val="24"/>
        </w:rPr>
      </w:pPr>
      <w:r w:rsidRPr="003534F1">
        <w:rPr>
          <w:b/>
          <w:sz w:val="24"/>
          <w:szCs w:val="24"/>
        </w:rPr>
        <w:t>Sexto. -</w:t>
      </w:r>
      <w:r w:rsidR="00170F4B" w:rsidRPr="003534F1">
        <w:rPr>
          <w:sz w:val="24"/>
          <w:szCs w:val="24"/>
        </w:rPr>
        <w:t xml:space="preserve"> </w:t>
      </w:r>
      <w:r w:rsidR="00170F4B" w:rsidRPr="00EA4BD6">
        <w:rPr>
          <w:sz w:val="24"/>
          <w:szCs w:val="24"/>
        </w:rPr>
        <w:t>La Dirección General de Industrias Ligeras de la Secretaría de Economía, tomando en cuenta la</w:t>
      </w:r>
      <w:r w:rsidR="00170F4B">
        <w:rPr>
          <w:sz w:val="24"/>
          <w:szCs w:val="24"/>
        </w:rPr>
        <w:t xml:space="preserve"> </w:t>
      </w:r>
      <w:r w:rsidR="00170F4B" w:rsidRPr="00EA4BD6">
        <w:rPr>
          <w:sz w:val="24"/>
          <w:szCs w:val="24"/>
        </w:rPr>
        <w:t xml:space="preserve">opinión de la Comisión Nacional </w:t>
      </w:r>
      <w:r w:rsidR="00170F4B" w:rsidRPr="00EA4BD6">
        <w:rPr>
          <w:sz w:val="24"/>
          <w:szCs w:val="24"/>
        </w:rPr>
        <w:lastRenderedPageBreak/>
        <w:t>de Acuacultura y Pesca de la Secretaría de Agricultura, Ganadería,</w:t>
      </w:r>
      <w:r w:rsidR="00170F4B">
        <w:rPr>
          <w:sz w:val="24"/>
          <w:szCs w:val="24"/>
        </w:rPr>
        <w:t xml:space="preserve"> </w:t>
      </w:r>
      <w:r w:rsidR="00170F4B" w:rsidRPr="00EA4BD6">
        <w:rPr>
          <w:sz w:val="24"/>
          <w:szCs w:val="24"/>
        </w:rPr>
        <w:t>Desarrollo Rural, Pesca y Alimentación, evaluará las condiciones de abasto nacional de los productos objeto</w:t>
      </w:r>
      <w:r w:rsidR="00170F4B">
        <w:rPr>
          <w:sz w:val="24"/>
          <w:szCs w:val="24"/>
        </w:rPr>
        <w:t xml:space="preserve"> </w:t>
      </w:r>
      <w:r w:rsidR="00170F4B" w:rsidRPr="00EA4BD6">
        <w:rPr>
          <w:sz w:val="24"/>
          <w:szCs w:val="24"/>
        </w:rPr>
        <w:t>del cupo en mayo de cada año, para efectos de licitar el monto correspondiente al segundo periodo de</w:t>
      </w:r>
      <w:r w:rsidR="00170F4B">
        <w:rPr>
          <w:sz w:val="24"/>
          <w:szCs w:val="24"/>
        </w:rPr>
        <w:t xml:space="preserve"> </w:t>
      </w:r>
      <w:r w:rsidR="00170F4B" w:rsidRPr="00EA4BD6">
        <w:rPr>
          <w:sz w:val="24"/>
          <w:szCs w:val="24"/>
        </w:rPr>
        <w:t>adjudicación, evitando así el afectar a la producción nacional de tilapia y bagre.</w:t>
      </w:r>
    </w:p>
    <w:p w:rsidR="00170F4B" w:rsidRDefault="00170F4B" w:rsidP="00170F4B">
      <w:pPr>
        <w:pStyle w:val="Prrafodelista"/>
        <w:ind w:left="0"/>
        <w:jc w:val="right"/>
        <w:rPr>
          <w:szCs w:val="24"/>
        </w:rPr>
      </w:pPr>
      <w:r w:rsidRPr="00EA4BD6">
        <w:rPr>
          <w:rFonts w:ascii="Arial" w:hAnsi="Arial" w:cs="Arial"/>
          <w:b/>
          <w:i/>
          <w:color w:val="0070C0"/>
          <w:sz w:val="18"/>
          <w:szCs w:val="18"/>
        </w:rPr>
        <w:t>Punto reformado DOF 31-12-14</w:t>
      </w:r>
    </w:p>
    <w:p w:rsidR="00170F4B" w:rsidRDefault="00170F4B" w:rsidP="00170F4B">
      <w:pPr>
        <w:pStyle w:val="Texto"/>
        <w:spacing w:after="0" w:line="240" w:lineRule="auto"/>
        <w:rPr>
          <w:b/>
          <w:sz w:val="24"/>
          <w:szCs w:val="24"/>
        </w:rPr>
      </w:pPr>
    </w:p>
    <w:p w:rsidR="00170F4B" w:rsidRDefault="000C5E72" w:rsidP="00170F4B">
      <w:pPr>
        <w:pStyle w:val="Texto"/>
        <w:spacing w:after="0" w:line="240" w:lineRule="auto"/>
        <w:rPr>
          <w:sz w:val="24"/>
          <w:szCs w:val="24"/>
        </w:rPr>
      </w:pPr>
      <w:r w:rsidRPr="003534F1">
        <w:rPr>
          <w:b/>
          <w:sz w:val="24"/>
          <w:szCs w:val="24"/>
        </w:rPr>
        <w:t>Séptimo. -</w:t>
      </w:r>
      <w:r w:rsidR="00170F4B" w:rsidRPr="003534F1">
        <w:rPr>
          <w:sz w:val="24"/>
          <w:szCs w:val="24"/>
        </w:rPr>
        <w:t xml:space="preserve"> </w:t>
      </w:r>
      <w:r w:rsidR="00170F4B" w:rsidRPr="00EA4BD6">
        <w:rPr>
          <w:sz w:val="24"/>
          <w:szCs w:val="24"/>
        </w:rPr>
        <w:t>Los formatos a que se hace referencia en este Acuerdo estarán a disposición de los</w:t>
      </w:r>
      <w:r w:rsidR="00170F4B">
        <w:rPr>
          <w:sz w:val="24"/>
          <w:szCs w:val="24"/>
        </w:rPr>
        <w:t xml:space="preserve"> </w:t>
      </w:r>
      <w:r w:rsidR="00170F4B" w:rsidRPr="00EA4BD6">
        <w:rPr>
          <w:sz w:val="24"/>
          <w:szCs w:val="24"/>
        </w:rPr>
        <w:t>interesados en las Representaciones Federales y la Dirección General de Comercio Exterior de la Secretaría</w:t>
      </w:r>
      <w:r w:rsidR="00170F4B">
        <w:rPr>
          <w:sz w:val="24"/>
          <w:szCs w:val="24"/>
        </w:rPr>
        <w:t xml:space="preserve"> </w:t>
      </w:r>
      <w:r w:rsidR="00170F4B" w:rsidRPr="00EA4BD6">
        <w:rPr>
          <w:sz w:val="24"/>
          <w:szCs w:val="24"/>
        </w:rPr>
        <w:t>de Economía.</w:t>
      </w:r>
    </w:p>
    <w:p w:rsidR="00170F4B" w:rsidRDefault="00170F4B" w:rsidP="00170F4B">
      <w:pPr>
        <w:pStyle w:val="Prrafodelista"/>
        <w:ind w:left="0"/>
        <w:jc w:val="right"/>
        <w:rPr>
          <w:szCs w:val="24"/>
        </w:rPr>
      </w:pPr>
      <w:r w:rsidRPr="00EA4BD6">
        <w:rPr>
          <w:rFonts w:ascii="Arial" w:hAnsi="Arial" w:cs="Arial"/>
          <w:b/>
          <w:i/>
          <w:color w:val="0070C0"/>
          <w:sz w:val="18"/>
          <w:szCs w:val="18"/>
        </w:rPr>
        <w:t>Punto reformado DOF 31-12-14</w:t>
      </w:r>
    </w:p>
    <w:p w:rsidR="00170F4B" w:rsidRPr="003534F1"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3534F1">
        <w:rPr>
          <w:b/>
          <w:sz w:val="24"/>
          <w:szCs w:val="24"/>
        </w:rPr>
        <w:t>Octavo. -</w:t>
      </w:r>
      <w:r w:rsidR="00170F4B" w:rsidRPr="003534F1">
        <w:rPr>
          <w:sz w:val="24"/>
          <w:szCs w:val="24"/>
        </w:rPr>
        <w:t xml:space="preserve"> </w:t>
      </w:r>
      <w:r w:rsidR="00170F4B" w:rsidRPr="00EA4BD6">
        <w:rPr>
          <w:sz w:val="24"/>
          <w:szCs w:val="24"/>
        </w:rPr>
        <w:t>Las autorizaciones emitidas al amparo del presente Acuerdo no eximen a los beneficiarios del</w:t>
      </w:r>
      <w:r w:rsidR="00170F4B">
        <w:rPr>
          <w:sz w:val="24"/>
          <w:szCs w:val="24"/>
        </w:rPr>
        <w:t xml:space="preserve"> </w:t>
      </w:r>
      <w:r w:rsidR="00170F4B" w:rsidRPr="00EA4BD6">
        <w:rPr>
          <w:sz w:val="24"/>
          <w:szCs w:val="24"/>
        </w:rPr>
        <w:t>cumplimiento de otros requisitos y demás regulaciones y restricciones no arancelarias aplicables a las</w:t>
      </w:r>
      <w:r w:rsidR="00170F4B">
        <w:rPr>
          <w:sz w:val="24"/>
          <w:szCs w:val="24"/>
        </w:rPr>
        <w:t xml:space="preserve"> </w:t>
      </w:r>
      <w:r w:rsidR="00170F4B" w:rsidRPr="00EA4BD6">
        <w:rPr>
          <w:sz w:val="24"/>
          <w:szCs w:val="24"/>
        </w:rPr>
        <w:t>mercancías en la aduana de despacho</w:t>
      </w:r>
      <w:r w:rsidR="00170F4B">
        <w:rPr>
          <w:sz w:val="24"/>
          <w:szCs w:val="24"/>
        </w:rPr>
        <w:t>.</w:t>
      </w:r>
    </w:p>
    <w:p w:rsidR="00170F4B" w:rsidRDefault="00170F4B" w:rsidP="00170F4B">
      <w:pPr>
        <w:pStyle w:val="Prrafodelista"/>
        <w:ind w:left="0"/>
        <w:jc w:val="right"/>
        <w:rPr>
          <w:szCs w:val="24"/>
        </w:rPr>
      </w:pPr>
      <w:r w:rsidRPr="00EA4BD6">
        <w:rPr>
          <w:rFonts w:ascii="Arial" w:hAnsi="Arial" w:cs="Arial"/>
          <w:b/>
          <w:i/>
          <w:color w:val="0070C0"/>
          <w:sz w:val="18"/>
          <w:szCs w:val="18"/>
        </w:rPr>
        <w:t>Punto reformado DOF 31-12-14</w:t>
      </w:r>
    </w:p>
    <w:p w:rsidR="00170F4B" w:rsidRPr="003534F1"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3534F1">
        <w:rPr>
          <w:b/>
          <w:sz w:val="24"/>
          <w:szCs w:val="24"/>
        </w:rPr>
        <w:t>Noveno. -</w:t>
      </w:r>
      <w:r w:rsidR="00170F4B" w:rsidRPr="003534F1">
        <w:rPr>
          <w:sz w:val="24"/>
          <w:szCs w:val="24"/>
        </w:rPr>
        <w:t xml:space="preserve"> </w:t>
      </w:r>
      <w:r w:rsidR="00170F4B">
        <w:rPr>
          <w:sz w:val="24"/>
          <w:szCs w:val="24"/>
        </w:rPr>
        <w:t>Derogado.</w:t>
      </w:r>
    </w:p>
    <w:p w:rsidR="00170F4B" w:rsidRPr="00796C33" w:rsidRDefault="00170F4B" w:rsidP="00170F4B">
      <w:pPr>
        <w:pStyle w:val="Prrafodelista"/>
        <w:ind w:left="0"/>
        <w:jc w:val="right"/>
        <w:rPr>
          <w:rFonts w:ascii="Arial" w:hAnsi="Arial" w:cs="Arial"/>
          <w:b/>
          <w:i/>
          <w:color w:val="0070C0"/>
          <w:sz w:val="18"/>
          <w:szCs w:val="18"/>
        </w:rPr>
      </w:pPr>
      <w:r w:rsidRPr="00796C33">
        <w:rPr>
          <w:rFonts w:ascii="Arial" w:hAnsi="Arial" w:cs="Arial"/>
          <w:b/>
          <w:i/>
          <w:color w:val="0070C0"/>
          <w:sz w:val="18"/>
          <w:szCs w:val="18"/>
        </w:rPr>
        <w:t>Punto derogado DOF 26-09-14</w:t>
      </w:r>
    </w:p>
    <w:p w:rsidR="00170F4B" w:rsidRPr="003534F1" w:rsidRDefault="00170F4B" w:rsidP="00170F4B">
      <w:pPr>
        <w:pStyle w:val="Texto"/>
        <w:spacing w:after="0" w:line="240" w:lineRule="auto"/>
        <w:ind w:left="720" w:hanging="432"/>
        <w:rPr>
          <w:sz w:val="24"/>
          <w:szCs w:val="24"/>
        </w:rPr>
      </w:pPr>
    </w:p>
    <w:p w:rsidR="00170F4B" w:rsidRDefault="000C5E72" w:rsidP="00170F4B">
      <w:pPr>
        <w:pStyle w:val="Texto"/>
        <w:spacing w:after="0" w:line="240" w:lineRule="auto"/>
        <w:rPr>
          <w:sz w:val="24"/>
          <w:szCs w:val="24"/>
        </w:rPr>
      </w:pPr>
      <w:r w:rsidRPr="003534F1">
        <w:rPr>
          <w:b/>
          <w:sz w:val="24"/>
          <w:szCs w:val="24"/>
        </w:rPr>
        <w:t>Décimo. -</w:t>
      </w:r>
      <w:r w:rsidR="00170F4B" w:rsidRPr="003534F1">
        <w:rPr>
          <w:sz w:val="24"/>
          <w:szCs w:val="24"/>
        </w:rPr>
        <w:t xml:space="preserve"> </w:t>
      </w:r>
      <w:r w:rsidR="00170F4B">
        <w:rPr>
          <w:sz w:val="24"/>
          <w:szCs w:val="24"/>
        </w:rPr>
        <w:t>Derogado.</w:t>
      </w:r>
    </w:p>
    <w:p w:rsidR="00170F4B" w:rsidRPr="00796C33" w:rsidRDefault="00170F4B" w:rsidP="00170F4B">
      <w:pPr>
        <w:pStyle w:val="Prrafodelista"/>
        <w:ind w:left="0"/>
        <w:jc w:val="right"/>
        <w:rPr>
          <w:rFonts w:ascii="Arial" w:hAnsi="Arial" w:cs="Arial"/>
          <w:b/>
          <w:i/>
          <w:color w:val="0070C0"/>
          <w:sz w:val="18"/>
          <w:szCs w:val="18"/>
        </w:rPr>
      </w:pPr>
      <w:r w:rsidRPr="00796C33">
        <w:rPr>
          <w:rFonts w:ascii="Arial" w:hAnsi="Arial" w:cs="Arial"/>
          <w:b/>
          <w:i/>
          <w:color w:val="0070C0"/>
          <w:sz w:val="18"/>
          <w:szCs w:val="18"/>
        </w:rPr>
        <w:t>Punto derogado DOF 26-09-14</w:t>
      </w:r>
    </w:p>
    <w:p w:rsidR="00170F4B" w:rsidRDefault="00170F4B" w:rsidP="00170F4B">
      <w:pPr>
        <w:pStyle w:val="Texto"/>
        <w:spacing w:after="0" w:line="240" w:lineRule="auto"/>
        <w:ind w:firstLine="0"/>
        <w:rPr>
          <w:sz w:val="24"/>
          <w:szCs w:val="24"/>
        </w:rPr>
      </w:pPr>
    </w:p>
    <w:p w:rsidR="00170F4B" w:rsidRDefault="00170F4B" w:rsidP="00170F4B">
      <w:pPr>
        <w:pStyle w:val="Texto"/>
        <w:spacing w:after="0" w:line="240" w:lineRule="auto"/>
        <w:rPr>
          <w:sz w:val="24"/>
          <w:szCs w:val="24"/>
        </w:rPr>
      </w:pPr>
      <w:r w:rsidRPr="00796C33">
        <w:rPr>
          <w:b/>
          <w:sz w:val="24"/>
          <w:szCs w:val="24"/>
        </w:rPr>
        <w:t xml:space="preserve">Décimo </w:t>
      </w:r>
      <w:r w:rsidR="000C5E72" w:rsidRPr="00796C33">
        <w:rPr>
          <w:b/>
          <w:sz w:val="24"/>
          <w:szCs w:val="24"/>
        </w:rPr>
        <w:t>primero. -</w:t>
      </w:r>
      <w:r w:rsidRPr="00796C33">
        <w:rPr>
          <w:sz w:val="24"/>
          <w:szCs w:val="24"/>
        </w:rPr>
        <w:t xml:space="preserve"> </w:t>
      </w:r>
      <w:r>
        <w:rPr>
          <w:sz w:val="24"/>
          <w:szCs w:val="24"/>
        </w:rPr>
        <w:t>Derogado.</w:t>
      </w:r>
    </w:p>
    <w:p w:rsidR="00170F4B" w:rsidRPr="00796C33" w:rsidRDefault="00170F4B" w:rsidP="00170F4B">
      <w:pPr>
        <w:pStyle w:val="Prrafodelista"/>
        <w:ind w:left="0"/>
        <w:jc w:val="right"/>
        <w:rPr>
          <w:rFonts w:ascii="Arial" w:hAnsi="Arial" w:cs="Arial"/>
          <w:b/>
          <w:i/>
          <w:color w:val="0070C0"/>
          <w:sz w:val="18"/>
          <w:szCs w:val="18"/>
        </w:rPr>
      </w:pPr>
      <w:r w:rsidRPr="00796C33">
        <w:rPr>
          <w:rFonts w:ascii="Arial" w:hAnsi="Arial" w:cs="Arial"/>
          <w:b/>
          <w:i/>
          <w:color w:val="0070C0"/>
          <w:sz w:val="18"/>
          <w:szCs w:val="18"/>
        </w:rPr>
        <w:lastRenderedPageBreak/>
        <w:t>Punto derogado DOF 26-09-14</w:t>
      </w:r>
    </w:p>
    <w:p w:rsidR="00170F4B"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796C33">
        <w:rPr>
          <w:b/>
          <w:sz w:val="24"/>
          <w:szCs w:val="24"/>
        </w:rPr>
        <w:t xml:space="preserve">Décimo </w:t>
      </w:r>
      <w:r w:rsidR="000C5E72" w:rsidRPr="00796C33">
        <w:rPr>
          <w:b/>
          <w:sz w:val="24"/>
          <w:szCs w:val="24"/>
        </w:rPr>
        <w:t>segundo. -</w:t>
      </w:r>
      <w:r w:rsidRPr="00796C33">
        <w:rPr>
          <w:sz w:val="24"/>
          <w:szCs w:val="24"/>
        </w:rPr>
        <w:t xml:space="preserve"> </w:t>
      </w:r>
      <w:r>
        <w:rPr>
          <w:sz w:val="24"/>
          <w:szCs w:val="24"/>
        </w:rPr>
        <w:t>Derogado.</w:t>
      </w:r>
    </w:p>
    <w:p w:rsidR="00170F4B" w:rsidRPr="00796C33" w:rsidRDefault="00170F4B" w:rsidP="00170F4B">
      <w:pPr>
        <w:pStyle w:val="Prrafodelista"/>
        <w:ind w:left="0"/>
        <w:jc w:val="right"/>
        <w:rPr>
          <w:rFonts w:ascii="Arial" w:hAnsi="Arial" w:cs="Arial"/>
          <w:b/>
          <w:i/>
          <w:color w:val="0070C0"/>
          <w:sz w:val="18"/>
          <w:szCs w:val="18"/>
        </w:rPr>
      </w:pPr>
      <w:r w:rsidRPr="00796C33">
        <w:rPr>
          <w:rFonts w:ascii="Arial" w:hAnsi="Arial" w:cs="Arial"/>
          <w:b/>
          <w:i/>
          <w:color w:val="0070C0"/>
          <w:sz w:val="18"/>
          <w:szCs w:val="18"/>
        </w:rPr>
        <w:t>Punto derogado DOF 26-09-14</w:t>
      </w:r>
    </w:p>
    <w:p w:rsidR="00170F4B"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796C33">
        <w:rPr>
          <w:b/>
          <w:sz w:val="24"/>
          <w:szCs w:val="24"/>
        </w:rPr>
        <w:t xml:space="preserve">Décimo </w:t>
      </w:r>
      <w:r w:rsidR="000C5E72" w:rsidRPr="00796C33">
        <w:rPr>
          <w:b/>
          <w:sz w:val="24"/>
          <w:szCs w:val="24"/>
        </w:rPr>
        <w:t>tercero. -</w:t>
      </w:r>
      <w:r w:rsidRPr="00796C33">
        <w:rPr>
          <w:sz w:val="24"/>
          <w:szCs w:val="24"/>
        </w:rPr>
        <w:t xml:space="preserve"> </w:t>
      </w:r>
      <w:r>
        <w:rPr>
          <w:sz w:val="24"/>
          <w:szCs w:val="24"/>
        </w:rPr>
        <w:t>Derogado.</w:t>
      </w:r>
    </w:p>
    <w:p w:rsidR="00170F4B" w:rsidRPr="00796C33" w:rsidRDefault="00170F4B" w:rsidP="00170F4B">
      <w:pPr>
        <w:pStyle w:val="Prrafodelista"/>
        <w:ind w:left="0"/>
        <w:jc w:val="right"/>
        <w:rPr>
          <w:rFonts w:ascii="Arial" w:hAnsi="Arial" w:cs="Arial"/>
          <w:b/>
          <w:i/>
          <w:color w:val="0070C0"/>
          <w:sz w:val="18"/>
          <w:szCs w:val="18"/>
        </w:rPr>
      </w:pPr>
      <w:r w:rsidRPr="00796C33">
        <w:rPr>
          <w:rFonts w:ascii="Arial" w:hAnsi="Arial" w:cs="Arial"/>
          <w:b/>
          <w:i/>
          <w:color w:val="0070C0"/>
          <w:sz w:val="18"/>
          <w:szCs w:val="18"/>
        </w:rPr>
        <w:t>Punto derogado DOF 26-09-14</w:t>
      </w:r>
    </w:p>
    <w:p w:rsidR="00170F4B" w:rsidRDefault="00170F4B" w:rsidP="00170F4B">
      <w:pPr>
        <w:pStyle w:val="Texto"/>
        <w:spacing w:after="0" w:line="240" w:lineRule="auto"/>
        <w:rPr>
          <w:sz w:val="24"/>
          <w:szCs w:val="24"/>
        </w:rPr>
      </w:pPr>
    </w:p>
    <w:p w:rsidR="00170F4B" w:rsidRDefault="00170F4B" w:rsidP="00170F4B">
      <w:pPr>
        <w:pStyle w:val="Texto"/>
        <w:spacing w:after="0" w:line="240" w:lineRule="auto"/>
        <w:rPr>
          <w:sz w:val="24"/>
          <w:szCs w:val="24"/>
        </w:rPr>
      </w:pPr>
      <w:r w:rsidRPr="00796C33">
        <w:rPr>
          <w:b/>
          <w:sz w:val="24"/>
          <w:szCs w:val="24"/>
        </w:rPr>
        <w:t xml:space="preserve">Décimo </w:t>
      </w:r>
      <w:r w:rsidR="000C5E72" w:rsidRPr="00796C33">
        <w:rPr>
          <w:b/>
          <w:sz w:val="24"/>
          <w:szCs w:val="24"/>
        </w:rPr>
        <w:t>cuarto. -</w:t>
      </w:r>
      <w:r w:rsidRPr="00796C33">
        <w:rPr>
          <w:b/>
          <w:sz w:val="24"/>
          <w:szCs w:val="24"/>
        </w:rPr>
        <w:t xml:space="preserve"> </w:t>
      </w:r>
      <w:r>
        <w:rPr>
          <w:sz w:val="24"/>
          <w:szCs w:val="24"/>
        </w:rPr>
        <w:t>Derogado.</w:t>
      </w:r>
    </w:p>
    <w:p w:rsidR="00170F4B" w:rsidRPr="00796C33" w:rsidRDefault="00170F4B" w:rsidP="00170F4B">
      <w:pPr>
        <w:pStyle w:val="Prrafodelista"/>
        <w:ind w:left="0"/>
        <w:jc w:val="right"/>
        <w:rPr>
          <w:rFonts w:ascii="Arial" w:hAnsi="Arial" w:cs="Arial"/>
          <w:b/>
          <w:i/>
          <w:color w:val="0070C0"/>
          <w:sz w:val="18"/>
          <w:szCs w:val="18"/>
        </w:rPr>
      </w:pPr>
      <w:r w:rsidRPr="00796C33">
        <w:rPr>
          <w:rFonts w:ascii="Arial" w:hAnsi="Arial" w:cs="Arial"/>
          <w:b/>
          <w:i/>
          <w:color w:val="0070C0"/>
          <w:sz w:val="18"/>
          <w:szCs w:val="18"/>
        </w:rPr>
        <w:t>Punto derogado DOF 26-09-14</w:t>
      </w:r>
    </w:p>
    <w:p w:rsidR="00170F4B" w:rsidRPr="00796C33" w:rsidRDefault="00170F4B" w:rsidP="00170F4B">
      <w:pPr>
        <w:pStyle w:val="Texto"/>
        <w:spacing w:after="0" w:line="240" w:lineRule="auto"/>
        <w:rPr>
          <w:b/>
          <w:sz w:val="24"/>
          <w:szCs w:val="24"/>
        </w:rPr>
      </w:pPr>
    </w:p>
    <w:p w:rsidR="00170F4B" w:rsidRPr="003534F1" w:rsidRDefault="00170F4B" w:rsidP="00170F4B">
      <w:pPr>
        <w:pStyle w:val="Texto"/>
        <w:spacing w:after="0" w:line="240" w:lineRule="auto"/>
        <w:rPr>
          <w:sz w:val="24"/>
          <w:szCs w:val="24"/>
        </w:rPr>
      </w:pPr>
    </w:p>
    <w:p w:rsidR="00170F4B" w:rsidRDefault="00170F4B" w:rsidP="00170F4B">
      <w:pPr>
        <w:pStyle w:val="ANOTACION"/>
        <w:spacing w:before="0" w:after="0" w:line="240" w:lineRule="auto"/>
        <w:rPr>
          <w:rFonts w:ascii="Arial" w:hAnsi="Arial" w:cs="Arial"/>
          <w:sz w:val="24"/>
          <w:szCs w:val="24"/>
        </w:rPr>
      </w:pPr>
      <w:r w:rsidRPr="003534F1">
        <w:rPr>
          <w:rFonts w:ascii="Arial" w:hAnsi="Arial" w:cs="Arial"/>
          <w:sz w:val="24"/>
          <w:szCs w:val="24"/>
        </w:rPr>
        <w:t>TRANSITORIO</w:t>
      </w:r>
      <w:r>
        <w:rPr>
          <w:rFonts w:ascii="Arial" w:hAnsi="Arial" w:cs="Arial"/>
          <w:sz w:val="24"/>
          <w:szCs w:val="24"/>
        </w:rPr>
        <w:t xml:space="preserve"> DEL 14 DE MARZO DE 2014</w:t>
      </w:r>
    </w:p>
    <w:p w:rsidR="00170F4B" w:rsidRPr="003534F1" w:rsidRDefault="00170F4B" w:rsidP="00170F4B">
      <w:pPr>
        <w:pStyle w:val="ANOTACION"/>
        <w:spacing w:before="0" w:after="0" w:line="240" w:lineRule="auto"/>
        <w:rPr>
          <w:rFonts w:ascii="Arial" w:hAnsi="Arial" w:cs="Arial"/>
          <w:sz w:val="24"/>
          <w:szCs w:val="24"/>
        </w:rPr>
      </w:pPr>
    </w:p>
    <w:p w:rsidR="00170F4B" w:rsidRDefault="000C5E72" w:rsidP="00170F4B">
      <w:pPr>
        <w:pStyle w:val="Texto"/>
        <w:spacing w:after="0" w:line="240" w:lineRule="auto"/>
        <w:rPr>
          <w:sz w:val="24"/>
          <w:szCs w:val="24"/>
        </w:rPr>
      </w:pPr>
      <w:r w:rsidRPr="003534F1">
        <w:rPr>
          <w:b/>
          <w:sz w:val="24"/>
          <w:szCs w:val="24"/>
        </w:rPr>
        <w:lastRenderedPageBreak/>
        <w:t>ÚNICO. -</w:t>
      </w:r>
      <w:r w:rsidR="00170F4B" w:rsidRPr="003534F1">
        <w:rPr>
          <w:sz w:val="24"/>
          <w:szCs w:val="24"/>
        </w:rPr>
        <w:t xml:space="preserve"> El presente Acuerdo entrará en vigor el día siguiente al de su publicación en el Diario Oficial </w:t>
      </w:r>
      <w:r w:rsidRPr="003534F1">
        <w:rPr>
          <w:sz w:val="24"/>
          <w:szCs w:val="24"/>
        </w:rPr>
        <w:t>de la</w:t>
      </w:r>
      <w:r w:rsidR="00170F4B" w:rsidRPr="003534F1">
        <w:rPr>
          <w:sz w:val="24"/>
          <w:szCs w:val="24"/>
        </w:rPr>
        <w:t xml:space="preserve"> Federación.</w:t>
      </w:r>
    </w:p>
    <w:p w:rsidR="00170F4B" w:rsidRDefault="00170F4B" w:rsidP="00170F4B">
      <w:pPr>
        <w:pStyle w:val="Texto"/>
        <w:spacing w:after="0" w:line="240" w:lineRule="auto"/>
        <w:rPr>
          <w:sz w:val="24"/>
          <w:szCs w:val="24"/>
        </w:rPr>
      </w:pPr>
    </w:p>
    <w:p w:rsidR="00170F4B" w:rsidRPr="003534F1" w:rsidRDefault="00170F4B" w:rsidP="00170F4B">
      <w:pPr>
        <w:pStyle w:val="Texto"/>
        <w:spacing w:after="0" w:line="240" w:lineRule="auto"/>
        <w:rPr>
          <w:sz w:val="24"/>
          <w:szCs w:val="24"/>
        </w:rPr>
      </w:pPr>
    </w:p>
    <w:p w:rsidR="00170F4B" w:rsidRDefault="00170F4B" w:rsidP="00170F4B">
      <w:pPr>
        <w:pStyle w:val="Texto"/>
        <w:spacing w:after="0" w:line="240" w:lineRule="auto"/>
        <w:jc w:val="center"/>
        <w:rPr>
          <w:b/>
          <w:sz w:val="24"/>
          <w:szCs w:val="24"/>
        </w:rPr>
      </w:pPr>
      <w:r w:rsidRPr="00796C33">
        <w:rPr>
          <w:b/>
          <w:sz w:val="24"/>
          <w:szCs w:val="24"/>
        </w:rPr>
        <w:t>TRANSITORIO</w:t>
      </w:r>
      <w:r>
        <w:rPr>
          <w:b/>
          <w:sz w:val="24"/>
          <w:szCs w:val="24"/>
        </w:rPr>
        <w:t xml:space="preserve"> DEL 26 DE SEPTIEMBRE DE 2014</w:t>
      </w:r>
    </w:p>
    <w:p w:rsidR="00170F4B" w:rsidRPr="00796C33" w:rsidRDefault="00170F4B" w:rsidP="00170F4B">
      <w:pPr>
        <w:pStyle w:val="Texto"/>
        <w:spacing w:after="0" w:line="240" w:lineRule="auto"/>
        <w:jc w:val="center"/>
        <w:rPr>
          <w:b/>
          <w:sz w:val="24"/>
          <w:szCs w:val="24"/>
        </w:rPr>
      </w:pPr>
    </w:p>
    <w:p w:rsidR="00170F4B" w:rsidRDefault="000C5E72" w:rsidP="00170F4B">
      <w:pPr>
        <w:pStyle w:val="Texto"/>
        <w:spacing w:after="0" w:line="240" w:lineRule="auto"/>
        <w:rPr>
          <w:sz w:val="24"/>
          <w:szCs w:val="24"/>
        </w:rPr>
      </w:pPr>
      <w:r w:rsidRPr="00796C33">
        <w:rPr>
          <w:b/>
          <w:sz w:val="24"/>
          <w:szCs w:val="24"/>
        </w:rPr>
        <w:t>ÚNICO. -</w:t>
      </w:r>
      <w:r w:rsidR="00170F4B" w:rsidRPr="00796C33">
        <w:rPr>
          <w:sz w:val="24"/>
          <w:szCs w:val="24"/>
        </w:rPr>
        <w:t xml:space="preserve"> El presente Acuerdo entrará en vigor el día siguiente al de su publicación en el Diario Oficial de</w:t>
      </w:r>
      <w:r w:rsidR="00170F4B">
        <w:rPr>
          <w:sz w:val="24"/>
          <w:szCs w:val="24"/>
        </w:rPr>
        <w:t xml:space="preserve"> </w:t>
      </w:r>
      <w:r w:rsidR="00170F4B" w:rsidRPr="00796C33">
        <w:rPr>
          <w:sz w:val="24"/>
          <w:szCs w:val="24"/>
        </w:rPr>
        <w:t>la Federación.</w:t>
      </w:r>
    </w:p>
    <w:p w:rsidR="00170F4B" w:rsidRDefault="00170F4B" w:rsidP="00170F4B">
      <w:pPr>
        <w:pStyle w:val="Texto"/>
        <w:spacing w:after="0" w:line="240" w:lineRule="auto"/>
        <w:rPr>
          <w:sz w:val="24"/>
          <w:szCs w:val="24"/>
        </w:rPr>
      </w:pPr>
    </w:p>
    <w:p w:rsidR="00170F4B" w:rsidRDefault="00170F4B" w:rsidP="00170F4B">
      <w:pPr>
        <w:pStyle w:val="Texto"/>
        <w:spacing w:after="0" w:line="240" w:lineRule="auto"/>
        <w:jc w:val="center"/>
        <w:rPr>
          <w:b/>
          <w:sz w:val="24"/>
          <w:szCs w:val="24"/>
        </w:rPr>
      </w:pPr>
      <w:r w:rsidRPr="00796C33">
        <w:rPr>
          <w:b/>
          <w:sz w:val="24"/>
          <w:szCs w:val="24"/>
        </w:rPr>
        <w:t>TRANSITORIOS</w:t>
      </w:r>
      <w:r>
        <w:rPr>
          <w:b/>
          <w:sz w:val="24"/>
          <w:szCs w:val="24"/>
        </w:rPr>
        <w:t xml:space="preserve"> DEL 31 DE DICIEMBRE DE 2014</w:t>
      </w:r>
    </w:p>
    <w:p w:rsidR="00170F4B" w:rsidRPr="00796C33" w:rsidRDefault="00170F4B" w:rsidP="00170F4B">
      <w:pPr>
        <w:pStyle w:val="Texto"/>
        <w:spacing w:after="0" w:line="240" w:lineRule="auto"/>
        <w:jc w:val="center"/>
        <w:rPr>
          <w:b/>
          <w:sz w:val="24"/>
          <w:szCs w:val="24"/>
        </w:rPr>
      </w:pPr>
    </w:p>
    <w:p w:rsidR="00170F4B" w:rsidRDefault="000C5E72" w:rsidP="00170F4B">
      <w:pPr>
        <w:pStyle w:val="Texto"/>
        <w:spacing w:after="0" w:line="240" w:lineRule="auto"/>
        <w:rPr>
          <w:sz w:val="24"/>
          <w:szCs w:val="24"/>
        </w:rPr>
      </w:pPr>
      <w:r w:rsidRPr="00796C33">
        <w:rPr>
          <w:b/>
          <w:sz w:val="24"/>
          <w:szCs w:val="24"/>
        </w:rPr>
        <w:t>PRIMERO. -</w:t>
      </w:r>
      <w:r w:rsidR="00170F4B" w:rsidRPr="00796C33">
        <w:rPr>
          <w:sz w:val="24"/>
          <w:szCs w:val="24"/>
        </w:rPr>
        <w:t xml:space="preserve"> El presente Acuerdo entrará en vigor el día siguiente al de su publicación en el Diario Oficial</w:t>
      </w:r>
      <w:r w:rsidR="00170F4B">
        <w:rPr>
          <w:sz w:val="24"/>
          <w:szCs w:val="24"/>
        </w:rPr>
        <w:t xml:space="preserve"> </w:t>
      </w:r>
      <w:r w:rsidR="00170F4B" w:rsidRPr="00796C33">
        <w:rPr>
          <w:sz w:val="24"/>
          <w:szCs w:val="24"/>
        </w:rPr>
        <w:t>de la Federación.</w:t>
      </w:r>
    </w:p>
    <w:p w:rsidR="00170F4B" w:rsidRPr="00796C33"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796C33">
        <w:rPr>
          <w:b/>
          <w:sz w:val="24"/>
          <w:szCs w:val="24"/>
        </w:rPr>
        <w:t>SEGUNDO. -</w:t>
      </w:r>
      <w:r w:rsidR="00170F4B" w:rsidRPr="00796C33">
        <w:rPr>
          <w:sz w:val="24"/>
          <w:szCs w:val="24"/>
        </w:rPr>
        <w:t xml:space="preserve"> Los certificados de cupo emitidos antes de la entrada en vigor del presente Acuerdo</w:t>
      </w:r>
      <w:r w:rsidR="00170F4B">
        <w:rPr>
          <w:sz w:val="24"/>
          <w:szCs w:val="24"/>
        </w:rPr>
        <w:t xml:space="preserve"> </w:t>
      </w:r>
      <w:r w:rsidR="00170F4B" w:rsidRPr="00796C33">
        <w:rPr>
          <w:sz w:val="24"/>
          <w:szCs w:val="24"/>
        </w:rPr>
        <w:t>continuarán vigentes en los términos en que fueron emitidos.</w:t>
      </w:r>
    </w:p>
    <w:p w:rsidR="00170F4B" w:rsidRPr="00796C33"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796C33">
        <w:rPr>
          <w:b/>
          <w:sz w:val="24"/>
          <w:szCs w:val="24"/>
        </w:rPr>
        <w:t>TERCERO. -</w:t>
      </w:r>
      <w:r w:rsidR="00170F4B" w:rsidRPr="00796C33">
        <w:rPr>
          <w:sz w:val="24"/>
          <w:szCs w:val="24"/>
        </w:rPr>
        <w:t xml:space="preserve"> Los beneficiarios del cupo que resultaron ganadores en la licitación pública nacional 007/2014</w:t>
      </w:r>
      <w:r w:rsidR="00170F4B">
        <w:rPr>
          <w:sz w:val="24"/>
          <w:szCs w:val="24"/>
        </w:rPr>
        <w:t xml:space="preserve"> </w:t>
      </w:r>
      <w:r w:rsidR="00170F4B" w:rsidRPr="00796C33">
        <w:rPr>
          <w:sz w:val="24"/>
          <w:szCs w:val="24"/>
        </w:rPr>
        <w:t>podrán seguir solicitando la expedición de los certificados de cupo, observando lo dispuesto en las bases de la</w:t>
      </w:r>
      <w:r w:rsidR="00170F4B">
        <w:rPr>
          <w:sz w:val="24"/>
          <w:szCs w:val="24"/>
        </w:rPr>
        <w:t xml:space="preserve"> </w:t>
      </w:r>
      <w:r w:rsidR="00170F4B" w:rsidRPr="00796C33">
        <w:rPr>
          <w:sz w:val="24"/>
          <w:szCs w:val="24"/>
        </w:rPr>
        <w:t>licitación.</w:t>
      </w:r>
      <w:r w:rsidR="00170F4B" w:rsidRPr="00796C33">
        <w:rPr>
          <w:sz w:val="24"/>
          <w:szCs w:val="24"/>
        </w:rPr>
        <w:cr/>
      </w:r>
    </w:p>
    <w:p w:rsidR="00170F4B" w:rsidRPr="00170F4B" w:rsidRDefault="00170F4B" w:rsidP="00170F4B">
      <w:pPr>
        <w:pStyle w:val="Texto"/>
        <w:spacing w:after="0" w:line="240" w:lineRule="auto"/>
        <w:jc w:val="center"/>
        <w:rPr>
          <w:b/>
          <w:sz w:val="24"/>
          <w:szCs w:val="24"/>
        </w:rPr>
      </w:pPr>
      <w:r w:rsidRPr="00170F4B">
        <w:rPr>
          <w:b/>
          <w:sz w:val="24"/>
          <w:szCs w:val="24"/>
        </w:rPr>
        <w:t>TRANSITORIO</w:t>
      </w:r>
      <w:r>
        <w:rPr>
          <w:b/>
          <w:sz w:val="24"/>
          <w:szCs w:val="24"/>
        </w:rPr>
        <w:t xml:space="preserve"> DEL 02 DE NOVIEMBRE DE 2017</w:t>
      </w:r>
    </w:p>
    <w:p w:rsidR="00170F4B" w:rsidRPr="00170F4B" w:rsidRDefault="00170F4B" w:rsidP="00170F4B">
      <w:pPr>
        <w:pStyle w:val="Texto"/>
        <w:spacing w:after="0" w:line="240" w:lineRule="auto"/>
        <w:rPr>
          <w:sz w:val="24"/>
          <w:szCs w:val="24"/>
        </w:rPr>
      </w:pPr>
    </w:p>
    <w:p w:rsidR="00170F4B" w:rsidRDefault="000C5E72" w:rsidP="00170F4B">
      <w:pPr>
        <w:pStyle w:val="Texto"/>
        <w:spacing w:after="0" w:line="240" w:lineRule="auto"/>
        <w:rPr>
          <w:sz w:val="24"/>
          <w:szCs w:val="24"/>
        </w:rPr>
      </w:pPr>
      <w:r w:rsidRPr="00170F4B">
        <w:rPr>
          <w:b/>
          <w:sz w:val="24"/>
          <w:szCs w:val="24"/>
        </w:rPr>
        <w:lastRenderedPageBreak/>
        <w:t>ÚNICO. -</w:t>
      </w:r>
      <w:r w:rsidR="00170F4B" w:rsidRPr="00170F4B">
        <w:rPr>
          <w:sz w:val="24"/>
          <w:szCs w:val="24"/>
        </w:rPr>
        <w:t xml:space="preserve"> El presente Acuerdo entrará en vigor el día siguiente al de su publicación en el Diario Oficial de la Federación.</w:t>
      </w:r>
    </w:p>
    <w:p w:rsidR="00170F4B" w:rsidRPr="00170F4B" w:rsidRDefault="00170F4B" w:rsidP="00170F4B">
      <w:pPr>
        <w:pStyle w:val="Texto"/>
        <w:spacing w:after="0" w:line="240" w:lineRule="auto"/>
        <w:rPr>
          <w:sz w:val="24"/>
          <w:szCs w:val="24"/>
        </w:rPr>
      </w:pPr>
    </w:p>
    <w:p w:rsidR="000718C8" w:rsidRDefault="000718C8" w:rsidP="00170F4B">
      <w:pPr>
        <w:spacing w:after="0"/>
      </w:pPr>
    </w:p>
    <w:sectPr w:rsidR="000718C8" w:rsidSect="0064769F">
      <w:pgSz w:w="12240" w:h="15840" w:code="1"/>
      <w:pgMar w:top="1152" w:right="1699" w:bottom="1296"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35D35"/>
    <w:multiLevelType w:val="hybridMultilevel"/>
    <w:tmpl w:val="00AAC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4B"/>
    <w:rsid w:val="000718C8"/>
    <w:rsid w:val="000C5E72"/>
    <w:rsid w:val="00170F4B"/>
    <w:rsid w:val="00DD1207"/>
    <w:rsid w:val="00FB51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11B3-C990-4204-B6E0-18AC00BD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170F4B"/>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autoRedefine/>
    <w:rsid w:val="00170F4B"/>
    <w:pPr>
      <w:spacing w:before="101" w:after="101" w:line="216" w:lineRule="atLeast"/>
      <w:jc w:val="center"/>
    </w:pPr>
    <w:rPr>
      <w:rFonts w:ascii="Times New Roman" w:hAnsi="Times New Roman"/>
      <w:b/>
      <w:sz w:val="18"/>
      <w:szCs w:val="20"/>
      <w:lang w:val="es-ES_tradnl"/>
    </w:rPr>
  </w:style>
  <w:style w:type="paragraph" w:customStyle="1" w:styleId="Titulo1">
    <w:name w:val="Titulo 1"/>
    <w:basedOn w:val="Texto"/>
    <w:rsid w:val="00170F4B"/>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170F4B"/>
    <w:pPr>
      <w:pBdr>
        <w:top w:val="double" w:sz="6" w:space="1" w:color="auto"/>
      </w:pBdr>
      <w:spacing w:line="240" w:lineRule="auto"/>
      <w:ind w:firstLine="0"/>
      <w:outlineLvl w:val="1"/>
    </w:pPr>
  </w:style>
  <w:style w:type="character" w:customStyle="1" w:styleId="TextoCar">
    <w:name w:val="Texto Car"/>
    <w:link w:val="Texto"/>
    <w:locked/>
    <w:rsid w:val="00170F4B"/>
    <w:rPr>
      <w:rFonts w:ascii="Arial" w:eastAsia="Calibri" w:hAnsi="Arial" w:cs="Arial"/>
      <w:sz w:val="18"/>
      <w:szCs w:val="20"/>
    </w:rPr>
  </w:style>
  <w:style w:type="character" w:customStyle="1" w:styleId="ANOTACIONCar">
    <w:name w:val="ANOTACION Car"/>
    <w:link w:val="ANOTACION"/>
    <w:locked/>
    <w:rsid w:val="00170F4B"/>
    <w:rPr>
      <w:rFonts w:ascii="Times New Roman" w:eastAsia="Calibri" w:hAnsi="Times New Roman" w:cs="Times New Roman"/>
      <w:b/>
      <w:sz w:val="18"/>
      <w:szCs w:val="20"/>
      <w:lang w:val="es-ES_tradnl"/>
    </w:rPr>
  </w:style>
  <w:style w:type="paragraph" w:styleId="Prrafodelista">
    <w:name w:val="List Paragraph"/>
    <w:basedOn w:val="Normal"/>
    <w:qFormat/>
    <w:rsid w:val="00170F4B"/>
    <w:pPr>
      <w:spacing w:after="0" w:line="240" w:lineRule="auto"/>
      <w:ind w:left="708"/>
    </w:pPr>
    <w:rPr>
      <w:rFonts w:ascii="Times New Roman" w:eastAsia="Times New Roman" w:hAnsi="Tim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8542">
      <w:bodyDiv w:val="1"/>
      <w:marLeft w:val="0"/>
      <w:marRight w:val="0"/>
      <w:marTop w:val="0"/>
      <w:marBottom w:val="0"/>
      <w:divBdr>
        <w:top w:val="none" w:sz="0" w:space="0" w:color="auto"/>
        <w:left w:val="none" w:sz="0" w:space="0" w:color="auto"/>
        <w:bottom w:val="none" w:sz="0" w:space="0" w:color="auto"/>
        <w:right w:val="none" w:sz="0" w:space="0" w:color="auto"/>
      </w:divBdr>
      <w:divsChild>
        <w:div w:id="1803687799">
          <w:marLeft w:val="0"/>
          <w:marRight w:val="0"/>
          <w:marTop w:val="240"/>
          <w:marBottom w:val="0"/>
          <w:divBdr>
            <w:top w:val="none" w:sz="0" w:space="0" w:color="auto"/>
            <w:left w:val="none" w:sz="0" w:space="0" w:color="auto"/>
            <w:bottom w:val="none" w:sz="0" w:space="0" w:color="auto"/>
            <w:right w:val="none" w:sz="0" w:space="0" w:color="auto"/>
          </w:divBdr>
          <w:divsChild>
            <w:div w:id="1029375608">
              <w:marLeft w:val="0"/>
              <w:marRight w:val="0"/>
              <w:marTop w:val="0"/>
              <w:marBottom w:val="0"/>
              <w:divBdr>
                <w:top w:val="none" w:sz="0" w:space="0" w:color="auto"/>
                <w:left w:val="none" w:sz="0" w:space="0" w:color="auto"/>
                <w:bottom w:val="none" w:sz="0" w:space="0" w:color="auto"/>
                <w:right w:val="none" w:sz="0" w:space="0" w:color="auto"/>
              </w:divBdr>
              <w:divsChild>
                <w:div w:id="1415320262">
                  <w:marLeft w:val="0"/>
                  <w:marRight w:val="0"/>
                  <w:marTop w:val="0"/>
                  <w:marBottom w:val="0"/>
                  <w:divBdr>
                    <w:top w:val="none" w:sz="0" w:space="0" w:color="auto"/>
                    <w:left w:val="none" w:sz="0" w:space="0" w:color="auto"/>
                    <w:bottom w:val="none" w:sz="0" w:space="0" w:color="auto"/>
                    <w:right w:val="none" w:sz="0" w:space="0" w:color="auto"/>
                  </w:divBdr>
                  <w:divsChild>
                    <w:div w:id="1577394158">
                      <w:marLeft w:val="0"/>
                      <w:marRight w:val="0"/>
                      <w:marTop w:val="101"/>
                      <w:marBottom w:val="101"/>
                      <w:divBdr>
                        <w:top w:val="none" w:sz="0" w:space="0" w:color="auto"/>
                        <w:left w:val="none" w:sz="0" w:space="0" w:color="auto"/>
                        <w:bottom w:val="none" w:sz="0" w:space="0" w:color="auto"/>
                        <w:right w:val="none" w:sz="0" w:space="0" w:color="auto"/>
                      </w:divBdr>
                    </w:div>
                    <w:div w:id="186235298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6535</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 Olivas Giner</dc:creator>
  <cp:keywords/>
  <dc:description/>
  <cp:lastModifiedBy>Dgce Ssocial 1</cp:lastModifiedBy>
  <cp:revision>2</cp:revision>
  <dcterms:created xsi:type="dcterms:W3CDTF">2018-06-18T22:04:00Z</dcterms:created>
  <dcterms:modified xsi:type="dcterms:W3CDTF">2018-06-18T22:04:00Z</dcterms:modified>
</cp:coreProperties>
</file>