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06" w:rsidRPr="00604906" w:rsidRDefault="00604906" w:rsidP="0060490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bookmarkStart w:id="0" w:name="_GoBack"/>
      <w:bookmarkEnd w:id="0"/>
      <w:r w:rsidRPr="00604906">
        <w:rPr>
          <w:rFonts w:ascii="Arial" w:eastAsia="Times New Roman" w:hAnsi="Arial" w:cs="Arial"/>
          <w:lang w:eastAsia="es-ES"/>
        </w:rPr>
        <w:t>Mercancía transformada (exportaciones de bienes a países integrantes del Tratado de Libre Comercio de América del Norte en los que se hayan incorporado insumos no originarios):</w:t>
      </w:r>
    </w:p>
    <w:p w:rsidR="00604906" w:rsidRDefault="00604906" w:rsidP="00604906">
      <w:pPr>
        <w:spacing w:after="0" w:line="240" w:lineRule="auto"/>
        <w:jc w:val="both"/>
        <w:rPr>
          <w:rFonts w:ascii="Arial" w:eastAsia="Times New Roman" w:hAnsi="Arial" w:cs="Arial"/>
          <w:b/>
          <w:lang w:eastAsia="es-MX"/>
        </w:rPr>
      </w:pPr>
    </w:p>
    <w:tbl>
      <w:tblPr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2"/>
        <w:gridCol w:w="1547"/>
        <w:gridCol w:w="1442"/>
        <w:gridCol w:w="1418"/>
        <w:gridCol w:w="1506"/>
        <w:gridCol w:w="1328"/>
      </w:tblGrid>
      <w:tr w:rsidR="00604906" w:rsidRPr="008424B6" w:rsidTr="00B22849">
        <w:trPr>
          <w:trHeight w:val="233"/>
        </w:trPr>
        <w:tc>
          <w:tcPr>
            <w:tcW w:w="0" w:type="auto"/>
            <w:gridSpan w:val="6"/>
            <w:shd w:val="clear" w:color="auto" w:fill="auto"/>
            <w:vAlign w:val="center"/>
          </w:tcPr>
          <w:p w:rsidR="00604906" w:rsidRDefault="00604906" w:rsidP="00B22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eastAsia="es-MX"/>
              </w:rPr>
              <w:t>Importación en el país de destino</w:t>
            </w:r>
          </w:p>
        </w:tc>
      </w:tr>
      <w:tr w:rsidR="00604906" w:rsidRPr="008424B6" w:rsidTr="00B22849">
        <w:trPr>
          <w:cantSplit/>
          <w:trHeight w:val="2211"/>
        </w:trPr>
        <w:tc>
          <w:tcPr>
            <w:tcW w:w="1542" w:type="dxa"/>
            <w:shd w:val="clear" w:color="auto" w:fill="auto"/>
            <w:textDirection w:val="btLr"/>
            <w:vAlign w:val="center"/>
            <w:hideMark/>
          </w:tcPr>
          <w:p w:rsidR="00604906" w:rsidRPr="008424B6" w:rsidRDefault="00604906" w:rsidP="00B22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  <w:r w:rsidRPr="008424B6">
              <w:rPr>
                <w:rFonts w:ascii="Arial" w:eastAsia="Times New Roman" w:hAnsi="Arial" w:cs="Arial"/>
                <w:sz w:val="18"/>
                <w:szCs w:val="16"/>
                <w:lang w:eastAsia="es-MX"/>
              </w:rPr>
              <w:t>Número del pedimento</w:t>
            </w:r>
          </w:p>
        </w:tc>
        <w:tc>
          <w:tcPr>
            <w:tcW w:w="1547" w:type="dxa"/>
            <w:shd w:val="clear" w:color="auto" w:fill="auto"/>
            <w:textDirection w:val="btLr"/>
            <w:vAlign w:val="center"/>
            <w:hideMark/>
          </w:tcPr>
          <w:p w:rsidR="00604906" w:rsidRPr="008424B6" w:rsidRDefault="00604906" w:rsidP="00B22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  <w:r w:rsidRPr="008424B6">
              <w:rPr>
                <w:rFonts w:ascii="Arial" w:eastAsia="Times New Roman" w:hAnsi="Arial" w:cs="Arial"/>
                <w:sz w:val="18"/>
                <w:szCs w:val="16"/>
                <w:lang w:eastAsia="es-MX"/>
              </w:rPr>
              <w:t>Secuencia / Partida del pedimento</w:t>
            </w:r>
          </w:p>
        </w:tc>
        <w:tc>
          <w:tcPr>
            <w:tcW w:w="1442" w:type="dxa"/>
            <w:shd w:val="clear" w:color="auto" w:fill="auto"/>
            <w:textDirection w:val="btLr"/>
            <w:vAlign w:val="center"/>
            <w:hideMark/>
          </w:tcPr>
          <w:p w:rsidR="00604906" w:rsidRPr="008424B6" w:rsidRDefault="00604906" w:rsidP="00B22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  <w:r w:rsidRPr="008424B6">
              <w:rPr>
                <w:rFonts w:ascii="Arial" w:eastAsia="Times New Roman" w:hAnsi="Arial" w:cs="Arial"/>
                <w:sz w:val="18"/>
                <w:szCs w:val="16"/>
                <w:lang w:eastAsia="es-MX"/>
              </w:rPr>
              <w:t>Fracción arancelaria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  <w:hideMark/>
          </w:tcPr>
          <w:p w:rsidR="00604906" w:rsidRPr="008424B6" w:rsidRDefault="00604906" w:rsidP="00B22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  <w:r w:rsidRPr="008424B6">
              <w:rPr>
                <w:rFonts w:ascii="Arial" w:eastAsia="Times New Roman" w:hAnsi="Arial" w:cs="Arial"/>
                <w:sz w:val="18"/>
                <w:szCs w:val="16"/>
                <w:lang w:eastAsia="es-MX"/>
              </w:rPr>
              <w:t>Descripción de la mercancía</w:t>
            </w:r>
          </w:p>
        </w:tc>
        <w:tc>
          <w:tcPr>
            <w:tcW w:w="1506" w:type="dxa"/>
            <w:shd w:val="clear" w:color="auto" w:fill="auto"/>
            <w:textDirection w:val="btLr"/>
            <w:vAlign w:val="center"/>
            <w:hideMark/>
          </w:tcPr>
          <w:p w:rsidR="00604906" w:rsidRPr="008424B6" w:rsidRDefault="00604906" w:rsidP="00B22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  <w:r w:rsidRPr="008424B6">
              <w:rPr>
                <w:rFonts w:ascii="Arial" w:eastAsia="Times New Roman" w:hAnsi="Arial" w:cs="Arial"/>
                <w:sz w:val="18"/>
                <w:szCs w:val="16"/>
                <w:lang w:eastAsia="es-MX"/>
              </w:rPr>
              <w:t xml:space="preserve">Cantidad </w:t>
            </w:r>
            <w:r>
              <w:rPr>
                <w:rFonts w:ascii="Arial" w:eastAsia="Times New Roman" w:hAnsi="Arial" w:cs="Arial"/>
                <w:sz w:val="18"/>
                <w:szCs w:val="16"/>
                <w:lang w:eastAsia="es-MX"/>
              </w:rPr>
              <w:t>importada</w:t>
            </w:r>
          </w:p>
        </w:tc>
        <w:tc>
          <w:tcPr>
            <w:tcW w:w="1328" w:type="dxa"/>
            <w:textDirection w:val="btLr"/>
          </w:tcPr>
          <w:p w:rsidR="00604906" w:rsidRPr="008424B6" w:rsidRDefault="00604906" w:rsidP="00B22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  <w:r w:rsidRPr="008424B6">
              <w:rPr>
                <w:rFonts w:ascii="Arial" w:eastAsia="Times New Roman" w:hAnsi="Arial" w:cs="Arial"/>
                <w:bCs/>
                <w:sz w:val="18"/>
                <w:szCs w:val="16"/>
                <w:lang w:eastAsia="es-MX"/>
              </w:rPr>
              <w:t xml:space="preserve">Monto </w:t>
            </w:r>
            <w:r w:rsidRPr="00597749">
              <w:rPr>
                <w:rFonts w:ascii="Arial" w:eastAsia="Times New Roman" w:hAnsi="Arial" w:cs="Arial"/>
                <w:bCs/>
                <w:sz w:val="18"/>
                <w:szCs w:val="16"/>
                <w:lang w:eastAsia="es-MX"/>
              </w:rPr>
              <w:t>del impuesto de importación pagado por la importación definitiva</w:t>
            </w:r>
          </w:p>
        </w:tc>
      </w:tr>
      <w:tr w:rsidR="00604906" w:rsidRPr="008424B6" w:rsidTr="00B22849">
        <w:trPr>
          <w:trHeight w:val="233"/>
        </w:trPr>
        <w:tc>
          <w:tcPr>
            <w:tcW w:w="1542" w:type="dxa"/>
            <w:shd w:val="clear" w:color="auto" w:fill="auto"/>
            <w:textDirection w:val="btLr"/>
            <w:vAlign w:val="center"/>
          </w:tcPr>
          <w:p w:rsidR="00604906" w:rsidRPr="008424B6" w:rsidRDefault="00604906" w:rsidP="00B22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</w:p>
        </w:tc>
        <w:tc>
          <w:tcPr>
            <w:tcW w:w="1547" w:type="dxa"/>
            <w:shd w:val="clear" w:color="auto" w:fill="auto"/>
            <w:textDirection w:val="btLr"/>
            <w:vAlign w:val="center"/>
          </w:tcPr>
          <w:p w:rsidR="00604906" w:rsidRPr="008424B6" w:rsidRDefault="00604906" w:rsidP="00B22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</w:p>
        </w:tc>
        <w:tc>
          <w:tcPr>
            <w:tcW w:w="1442" w:type="dxa"/>
            <w:shd w:val="clear" w:color="auto" w:fill="auto"/>
            <w:textDirection w:val="btLr"/>
            <w:vAlign w:val="center"/>
          </w:tcPr>
          <w:p w:rsidR="00604906" w:rsidRPr="008424B6" w:rsidRDefault="00604906" w:rsidP="00B22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604906" w:rsidRPr="008424B6" w:rsidRDefault="00604906" w:rsidP="00B22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</w:p>
        </w:tc>
        <w:tc>
          <w:tcPr>
            <w:tcW w:w="1506" w:type="dxa"/>
            <w:shd w:val="clear" w:color="auto" w:fill="auto"/>
            <w:textDirection w:val="btLr"/>
            <w:vAlign w:val="center"/>
          </w:tcPr>
          <w:p w:rsidR="00604906" w:rsidRPr="008424B6" w:rsidRDefault="00604906" w:rsidP="00B22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</w:p>
        </w:tc>
        <w:tc>
          <w:tcPr>
            <w:tcW w:w="1328" w:type="dxa"/>
            <w:textDirection w:val="btLr"/>
          </w:tcPr>
          <w:p w:rsidR="00604906" w:rsidRPr="008424B6" w:rsidRDefault="00604906" w:rsidP="00B22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</w:p>
        </w:tc>
      </w:tr>
      <w:tr w:rsidR="00604906" w:rsidRPr="008424B6" w:rsidTr="00B22849">
        <w:trPr>
          <w:trHeight w:val="338"/>
        </w:trPr>
        <w:tc>
          <w:tcPr>
            <w:tcW w:w="8783" w:type="dxa"/>
            <w:gridSpan w:val="6"/>
            <w:tcBorders>
              <w:bottom w:val="nil"/>
            </w:tcBorders>
            <w:shd w:val="clear" w:color="auto" w:fill="auto"/>
            <w:vAlign w:val="center"/>
            <w:hideMark/>
          </w:tcPr>
          <w:p w:rsidR="00604906" w:rsidRPr="008424B6" w:rsidRDefault="00604906" w:rsidP="00B2284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MX"/>
              </w:rPr>
            </w:pPr>
            <w:r w:rsidRPr="008424B6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MX"/>
              </w:rPr>
              <w:t>Consideraciones Generales para el llenado.</w:t>
            </w:r>
          </w:p>
        </w:tc>
      </w:tr>
      <w:tr w:rsidR="00604906" w:rsidRPr="008424B6" w:rsidTr="00B22849">
        <w:trPr>
          <w:trHeight w:val="1698"/>
        </w:trPr>
        <w:tc>
          <w:tcPr>
            <w:tcW w:w="878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06" w:rsidRDefault="00604906" w:rsidP="00604906">
            <w:pPr>
              <w:pStyle w:val="Prrafodelista"/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62" w:firstLine="0"/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Esta información deberá llenarse como complemento a la Tabla 2, cuando se realicen </w:t>
            </w:r>
            <w:r w:rsidRPr="00F56809">
              <w:rPr>
                <w:rFonts w:ascii="Arial" w:hAnsi="Arial" w:cs="Arial"/>
                <w:sz w:val="18"/>
                <w:szCs w:val="16"/>
              </w:rPr>
              <w:t>exportaciones de bienes a países integrantes del Tratado de Libre Comercio de América del Norte en los que se hayan incorporado insumos no originarios</w:t>
            </w:r>
            <w:r>
              <w:rPr>
                <w:rFonts w:ascii="Arial" w:hAnsi="Arial" w:cs="Arial"/>
                <w:sz w:val="18"/>
                <w:szCs w:val="16"/>
              </w:rPr>
              <w:t>.</w:t>
            </w:r>
          </w:p>
          <w:p w:rsidR="00604906" w:rsidRDefault="00604906" w:rsidP="00604906">
            <w:pPr>
              <w:pStyle w:val="Prrafodelista"/>
              <w:numPr>
                <w:ilvl w:val="0"/>
                <w:numId w:val="1"/>
              </w:numPr>
              <w:tabs>
                <w:tab w:val="left" w:pos="62"/>
              </w:tabs>
              <w:spacing w:after="0" w:line="240" w:lineRule="auto"/>
              <w:ind w:left="62" w:firstLine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8424B6">
              <w:rPr>
                <w:rFonts w:ascii="Arial" w:hAnsi="Arial" w:cs="Arial"/>
                <w:sz w:val="18"/>
                <w:szCs w:val="16"/>
              </w:rPr>
              <w:t xml:space="preserve">Las celdas no deberán combinarse, ni quedar vacías, es decir, por cada pedimento de </w:t>
            </w:r>
            <w:r>
              <w:rPr>
                <w:rFonts w:ascii="Arial" w:hAnsi="Arial" w:cs="Arial"/>
                <w:sz w:val="18"/>
                <w:szCs w:val="16"/>
              </w:rPr>
              <w:t>exportación</w:t>
            </w:r>
            <w:r w:rsidRPr="008424B6">
              <w:rPr>
                <w:rFonts w:ascii="Arial" w:hAnsi="Arial" w:cs="Arial"/>
                <w:sz w:val="18"/>
                <w:szCs w:val="16"/>
              </w:rPr>
              <w:t xml:space="preserve"> se deber</w:t>
            </w:r>
            <w:r>
              <w:rPr>
                <w:rFonts w:ascii="Arial" w:hAnsi="Arial" w:cs="Arial"/>
                <w:sz w:val="18"/>
                <w:szCs w:val="16"/>
              </w:rPr>
              <w:t>á correlacionar el pedimento con el que se importó la mercancía en el país de destino.</w:t>
            </w:r>
          </w:p>
          <w:p w:rsidR="00604906" w:rsidRPr="000D1A6D" w:rsidRDefault="00604906" w:rsidP="00604906">
            <w:pPr>
              <w:pStyle w:val="Prrafodelista"/>
              <w:numPr>
                <w:ilvl w:val="0"/>
                <w:numId w:val="1"/>
              </w:numPr>
              <w:tabs>
                <w:tab w:val="left" w:pos="62"/>
              </w:tabs>
              <w:spacing w:after="0" w:line="240" w:lineRule="auto"/>
              <w:ind w:left="62" w:firstLine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0D1A6D">
              <w:rPr>
                <w:rFonts w:ascii="Arial" w:eastAsia="Times New Roman" w:hAnsi="Arial" w:cs="Arial"/>
                <w:sz w:val="18"/>
                <w:szCs w:val="16"/>
                <w:lang w:eastAsia="es-MX"/>
              </w:rPr>
              <w:t>Secuencia/Partida, únicamente se deberá indicar una secuencia por celda. Los siguientes ejemplos no son válidos: 1 a</w:t>
            </w:r>
            <w:r>
              <w:rPr>
                <w:rFonts w:ascii="Arial" w:eastAsia="Times New Roman" w:hAnsi="Arial" w:cs="Arial"/>
                <w:sz w:val="18"/>
                <w:szCs w:val="16"/>
                <w:lang w:eastAsia="es-MX"/>
              </w:rPr>
              <w:t xml:space="preserve"> </w:t>
            </w:r>
            <w:r w:rsidRPr="000D1A6D">
              <w:rPr>
                <w:rFonts w:ascii="Arial" w:eastAsia="Times New Roman" w:hAnsi="Arial" w:cs="Arial"/>
                <w:sz w:val="18"/>
                <w:szCs w:val="16"/>
                <w:lang w:eastAsia="es-MX"/>
              </w:rPr>
              <w:t>4; 1,2,3; 1-3.</w:t>
            </w:r>
          </w:p>
          <w:p w:rsidR="00604906" w:rsidRDefault="00604906" w:rsidP="00604906">
            <w:pPr>
              <w:pStyle w:val="Prrafodelista"/>
              <w:numPr>
                <w:ilvl w:val="0"/>
                <w:numId w:val="1"/>
              </w:numPr>
              <w:tabs>
                <w:tab w:val="left" w:pos="344"/>
              </w:tabs>
              <w:spacing w:after="0" w:line="240" w:lineRule="auto"/>
              <w:ind w:left="62" w:firstLine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8424B6">
              <w:rPr>
                <w:rFonts w:ascii="Arial" w:hAnsi="Arial" w:cs="Arial"/>
                <w:sz w:val="18"/>
                <w:szCs w:val="16"/>
              </w:rPr>
              <w:t xml:space="preserve">Las fracciones </w:t>
            </w:r>
            <w:r>
              <w:rPr>
                <w:rFonts w:ascii="Arial" w:hAnsi="Arial" w:cs="Arial"/>
                <w:sz w:val="18"/>
                <w:szCs w:val="16"/>
              </w:rPr>
              <w:t>arancelarias deben señalarse a 10</w:t>
            </w:r>
            <w:r w:rsidRPr="008424B6">
              <w:rPr>
                <w:rFonts w:ascii="Arial" w:hAnsi="Arial" w:cs="Arial"/>
                <w:sz w:val="18"/>
                <w:szCs w:val="16"/>
              </w:rPr>
              <w:t xml:space="preserve"> dígitos</w:t>
            </w:r>
            <w:r>
              <w:rPr>
                <w:rFonts w:ascii="Arial" w:hAnsi="Arial" w:cs="Arial"/>
                <w:sz w:val="18"/>
                <w:szCs w:val="16"/>
              </w:rPr>
              <w:t xml:space="preserve"> sin caracteres especiales ni espacios.</w:t>
            </w:r>
          </w:p>
          <w:p w:rsidR="00604906" w:rsidRDefault="00604906" w:rsidP="00604906">
            <w:pPr>
              <w:pStyle w:val="Prrafodelista"/>
              <w:numPr>
                <w:ilvl w:val="0"/>
                <w:numId w:val="1"/>
              </w:numPr>
              <w:tabs>
                <w:tab w:val="left" w:pos="344"/>
              </w:tabs>
              <w:spacing w:after="0" w:line="240" w:lineRule="auto"/>
              <w:ind w:left="62" w:firstLine="0"/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Cantidad importada, declarar la cantidad de mercancía importada de la que se solicita la devolución en formato decimal, sin separación de coma para los miles.</w:t>
            </w:r>
          </w:p>
          <w:p w:rsidR="00604906" w:rsidRPr="00E354DE" w:rsidRDefault="00604906" w:rsidP="00604906">
            <w:pPr>
              <w:pStyle w:val="Prrafodelista"/>
              <w:numPr>
                <w:ilvl w:val="0"/>
                <w:numId w:val="1"/>
              </w:numPr>
              <w:tabs>
                <w:tab w:val="left" w:pos="62"/>
              </w:tabs>
              <w:spacing w:after="0" w:line="240" w:lineRule="auto"/>
              <w:ind w:left="62" w:hanging="62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8424B6">
              <w:rPr>
                <w:rFonts w:ascii="Arial" w:eastAsia="Times New Roman" w:hAnsi="Arial" w:cs="Arial"/>
                <w:bCs/>
                <w:sz w:val="18"/>
                <w:szCs w:val="16"/>
                <w:lang w:eastAsia="es-MX"/>
              </w:rPr>
              <w:t xml:space="preserve">Monto </w:t>
            </w:r>
            <w:r w:rsidRPr="00597749">
              <w:rPr>
                <w:rFonts w:ascii="Arial" w:eastAsia="Times New Roman" w:hAnsi="Arial" w:cs="Arial"/>
                <w:bCs/>
                <w:sz w:val="18"/>
                <w:szCs w:val="16"/>
                <w:lang w:eastAsia="es-MX"/>
              </w:rPr>
              <w:t>del impuesto de importación pagado por la importación definitiva en el país destino en dólares</w:t>
            </w:r>
            <w:r>
              <w:rPr>
                <w:rFonts w:ascii="Arial" w:eastAsia="Times New Roman" w:hAnsi="Arial" w:cs="Arial"/>
                <w:bCs/>
                <w:sz w:val="18"/>
                <w:szCs w:val="16"/>
                <w:lang w:eastAsia="es-MX"/>
              </w:rPr>
              <w:t xml:space="preserve"> con decimales (5 dígitos) y sin separación de comas para los miles</w:t>
            </w:r>
          </w:p>
        </w:tc>
      </w:tr>
    </w:tbl>
    <w:p w:rsidR="00AC7D5A" w:rsidRDefault="00AC7D5A"/>
    <w:sectPr w:rsidR="00AC7D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42E2"/>
    <w:multiLevelType w:val="hybridMultilevel"/>
    <w:tmpl w:val="5E08C350"/>
    <w:lvl w:ilvl="0" w:tplc="54EC6F7A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06"/>
    <w:rsid w:val="00604906"/>
    <w:rsid w:val="00AC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BA024"/>
  <w15:chartTrackingRefBased/>
  <w15:docId w15:val="{5201CC1F-A269-4AF0-9083-30AF4BD4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9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 Paragraph1,viñetas,4 Párrafo de lista,Figuras,Dot pt,No Spacing1,List Paragraph Char Char Char,Indicator Text,Numbered Para 1,DH1,Colorful List - Accent 11,Bullet 1,F5 List Paragraph,Bullet Points"/>
    <w:basedOn w:val="Normal"/>
    <w:link w:val="PrrafodelistaCar"/>
    <w:uiPriority w:val="34"/>
    <w:qFormat/>
    <w:rsid w:val="00604906"/>
    <w:pPr>
      <w:ind w:left="720"/>
      <w:contextualSpacing/>
    </w:pPr>
  </w:style>
  <w:style w:type="character" w:customStyle="1" w:styleId="PrrafodelistaCar">
    <w:name w:val="Párrafo de lista Car"/>
    <w:aliases w:val="lp1 Car,List Paragraph1 Car,viñetas Car,4 Párrafo de lista Car,Figuras Car,Dot pt Car,No Spacing1 Car,List Paragraph Char Char Char Car,Indicator Text Car,Numbered Para 1 Car,DH1 Car,Colorful List - Accent 11 Car,Bullet 1 Car"/>
    <w:link w:val="Prrafodelista"/>
    <w:uiPriority w:val="34"/>
    <w:qFormat/>
    <w:locked/>
    <w:rsid w:val="00604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Quetzali García Ojeda</dc:creator>
  <cp:keywords/>
  <dc:description/>
  <cp:lastModifiedBy>Quetzali García Ojeda</cp:lastModifiedBy>
  <cp:revision>1</cp:revision>
  <dcterms:created xsi:type="dcterms:W3CDTF">2019-12-06T18:52:00Z</dcterms:created>
  <dcterms:modified xsi:type="dcterms:W3CDTF">2019-12-06T18:57:00Z</dcterms:modified>
</cp:coreProperties>
</file>