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A4E" w:rsidRPr="00F83636" w:rsidRDefault="00615A4E" w:rsidP="00615A4E">
      <w:pPr>
        <w:jc w:val="center"/>
        <w:rPr>
          <w:rFonts w:ascii="Arial" w:hAnsi="Arial" w:cs="Arial"/>
          <w:b/>
        </w:rPr>
      </w:pPr>
      <w:bookmarkStart w:id="0" w:name="_GoBack"/>
      <w:bookmarkEnd w:id="0"/>
    </w:p>
    <w:p w:rsidR="00615A4E" w:rsidRDefault="00615A4E" w:rsidP="00615A4E">
      <w:pPr>
        <w:jc w:val="center"/>
        <w:rPr>
          <w:rFonts w:ascii="Arial" w:hAnsi="Arial" w:cs="Arial"/>
          <w:b/>
          <w:i/>
          <w:u w:val="single"/>
        </w:rPr>
      </w:pPr>
      <w:r w:rsidRPr="00F83636">
        <w:rPr>
          <w:rFonts w:ascii="Arial" w:hAnsi="Arial" w:cs="Arial"/>
          <w:b/>
          <w:i/>
          <w:u w:val="single"/>
        </w:rPr>
        <w:t>CONSUL</w:t>
      </w:r>
      <w:r w:rsidR="002B2AA5">
        <w:rPr>
          <w:rFonts w:ascii="Arial" w:hAnsi="Arial" w:cs="Arial"/>
          <w:b/>
          <w:i/>
          <w:u w:val="single"/>
        </w:rPr>
        <w:t>TA PÚBLICA DE NOTAS NACIONALES</w:t>
      </w:r>
    </w:p>
    <w:p w:rsidR="00B159FE" w:rsidRDefault="00B159FE" w:rsidP="00615A4E">
      <w:pPr>
        <w:jc w:val="center"/>
        <w:rPr>
          <w:rFonts w:ascii="Arial" w:hAnsi="Arial" w:cs="Arial"/>
          <w:b/>
          <w:i/>
          <w:u w:val="single"/>
        </w:rPr>
      </w:pPr>
    </w:p>
    <w:p w:rsidR="00B159FE" w:rsidRDefault="00B159FE" w:rsidP="00B159FE">
      <w:pPr>
        <w:spacing w:after="0"/>
        <w:jc w:val="center"/>
        <w:rPr>
          <w:rFonts w:ascii="Garamond" w:hAnsi="Garamond"/>
          <w:b/>
        </w:rPr>
      </w:pPr>
      <w:r>
        <w:rPr>
          <w:rFonts w:ascii="Garamond" w:hAnsi="Garamond"/>
          <w:b/>
        </w:rPr>
        <w:t>SECCIÓN XIII</w:t>
      </w:r>
    </w:p>
    <w:p w:rsidR="00B159FE" w:rsidRDefault="00B159FE" w:rsidP="00B159FE">
      <w:pPr>
        <w:jc w:val="center"/>
        <w:rPr>
          <w:rFonts w:ascii="Garamond" w:hAnsi="Garamond"/>
        </w:rPr>
      </w:pPr>
    </w:p>
    <w:p w:rsidR="00B159FE" w:rsidRDefault="00B159FE" w:rsidP="00B159FE">
      <w:pPr>
        <w:jc w:val="center"/>
        <w:rPr>
          <w:rFonts w:ascii="Garamond" w:hAnsi="Garamond"/>
          <w:b/>
        </w:rPr>
      </w:pPr>
      <w:r w:rsidRPr="000A088E">
        <w:rPr>
          <w:rFonts w:ascii="Garamond" w:hAnsi="Garamond"/>
          <w:b/>
        </w:rPr>
        <w:t>MANUFACTURAS DE PIEDRA, YESO FRAGUABLE, CEMENTO, AMIANTO (ASBESTO), MICA O MATERIAS ANÁLOGAS; PRODUCTOS CERÁMICOS; VIDRIO Y SUS MANUFACTURAS</w:t>
      </w:r>
    </w:p>
    <w:p w:rsidR="00B159FE" w:rsidRPr="00FB07E1" w:rsidRDefault="00B159FE" w:rsidP="00B159FE">
      <w:pPr>
        <w:spacing w:after="0"/>
        <w:jc w:val="center"/>
        <w:rPr>
          <w:rFonts w:ascii="Garamond" w:hAnsi="Garamond"/>
          <w:b/>
        </w:rPr>
      </w:pPr>
      <w:r>
        <w:rPr>
          <w:rFonts w:ascii="Garamond" w:hAnsi="Garamond"/>
          <w:b/>
        </w:rPr>
        <w:t>Capítulo 68</w:t>
      </w:r>
    </w:p>
    <w:p w:rsidR="00B159FE" w:rsidRDefault="00B159FE" w:rsidP="00B159FE">
      <w:pPr>
        <w:spacing w:after="0"/>
        <w:rPr>
          <w:rFonts w:ascii="Garamond" w:hAnsi="Garamond"/>
          <w:b/>
        </w:rPr>
      </w:pPr>
      <w:r w:rsidRPr="00FB07E1">
        <w:rPr>
          <w:rFonts w:ascii="Garamond" w:hAnsi="Garamond"/>
          <w:b/>
        </w:rPr>
        <w:t>Nota</w:t>
      </w:r>
      <w:r>
        <w:rPr>
          <w:rFonts w:ascii="Garamond" w:hAnsi="Garamond"/>
          <w:b/>
        </w:rPr>
        <w:t>s Nacionales</w:t>
      </w:r>
      <w:r w:rsidRPr="00FB07E1">
        <w:rPr>
          <w:rFonts w:ascii="Garamond" w:hAnsi="Garamond"/>
          <w:b/>
        </w:rPr>
        <w:t xml:space="preserve">: </w:t>
      </w:r>
    </w:p>
    <w:p w:rsidR="00B159FE" w:rsidRDefault="00B159FE" w:rsidP="00B159FE">
      <w:pPr>
        <w:pStyle w:val="Prrafodelista"/>
        <w:spacing w:after="0"/>
        <w:ind w:left="360"/>
        <w:jc w:val="both"/>
        <w:rPr>
          <w:rFonts w:ascii="Garamond" w:hAnsi="Garamond"/>
        </w:rPr>
      </w:pPr>
    </w:p>
    <w:p w:rsidR="00B159FE" w:rsidRPr="00C61423" w:rsidRDefault="00B159FE" w:rsidP="00B159FE">
      <w:pPr>
        <w:pStyle w:val="Prrafodelista"/>
        <w:numPr>
          <w:ilvl w:val="0"/>
          <w:numId w:val="15"/>
        </w:numPr>
        <w:spacing w:after="0"/>
        <w:jc w:val="both"/>
        <w:rPr>
          <w:rFonts w:ascii="Garamond" w:eastAsia="Calibri" w:hAnsi="Garamond" w:cs="Times New Roman"/>
          <w:lang w:val="es-ES_tradnl"/>
        </w:rPr>
      </w:pPr>
      <w:r w:rsidRPr="00C61423">
        <w:rPr>
          <w:rFonts w:ascii="Garamond" w:eastAsia="Calibri" w:hAnsi="Garamond" w:cs="Times New Roman"/>
          <w:lang w:val="es-ES_tradnl"/>
        </w:rPr>
        <w:t>Los productos de la subpartida 6804.10 están diseñados para reducir el tamaño de las partículas de materias tales como granos o semillas, pastas, pigmentos, etc., pero no para el desbarbado, pulido, afilado, rectificado o cualquier otra operación que implique arranque de materia.</w:t>
      </w:r>
    </w:p>
    <w:p w:rsidR="00B159FE" w:rsidRPr="00C61423" w:rsidRDefault="00B159FE" w:rsidP="00B159FE">
      <w:pPr>
        <w:pStyle w:val="Prrafodelista"/>
        <w:spacing w:after="0"/>
        <w:jc w:val="both"/>
        <w:rPr>
          <w:rFonts w:ascii="Garamond" w:eastAsia="Calibri" w:hAnsi="Garamond" w:cs="Times New Roman"/>
          <w:b/>
          <w:lang w:val="es-ES_tradnl"/>
        </w:rPr>
      </w:pPr>
    </w:p>
    <w:p w:rsidR="00B159FE" w:rsidRPr="00C61423" w:rsidRDefault="00B159FE" w:rsidP="00B159FE">
      <w:pPr>
        <w:pStyle w:val="Prrafodelista"/>
        <w:numPr>
          <w:ilvl w:val="0"/>
          <w:numId w:val="17"/>
        </w:numPr>
        <w:spacing w:after="0"/>
        <w:jc w:val="both"/>
        <w:rPr>
          <w:rFonts w:ascii="Garamond" w:eastAsia="Calibri" w:hAnsi="Garamond" w:cs="Times New Roman"/>
          <w:b/>
          <w:lang w:val="es-ES_tradnl"/>
        </w:rPr>
      </w:pPr>
      <w:r w:rsidRPr="00C61423">
        <w:rPr>
          <w:rFonts w:ascii="Garamond" w:eastAsia="Calibri" w:hAnsi="Garamond" w:cs="Times New Roman"/>
          <w:b/>
          <w:lang w:val="es-ES_tradnl"/>
        </w:rPr>
        <w:t>Muelas para moler</w:t>
      </w:r>
    </w:p>
    <w:p w:rsidR="00B159FE" w:rsidRPr="00C61423" w:rsidRDefault="00B159FE" w:rsidP="00B159FE">
      <w:pPr>
        <w:pStyle w:val="Prrafodelista"/>
        <w:spacing w:after="0"/>
        <w:ind w:left="1080"/>
        <w:jc w:val="both"/>
        <w:rPr>
          <w:rFonts w:ascii="Garamond" w:eastAsia="Calibri" w:hAnsi="Garamond" w:cs="Times New Roman"/>
          <w:lang w:val="es-ES_tradnl"/>
        </w:rPr>
      </w:pPr>
      <w:r w:rsidRPr="00C61423">
        <w:rPr>
          <w:rFonts w:ascii="Garamond" w:eastAsia="Calibri" w:hAnsi="Garamond" w:cs="Times New Roman"/>
          <w:lang w:val="es-ES_tradnl"/>
        </w:rPr>
        <w:t>Son muelas que se expiden generalmente por parejas, que presentan una superficie cónica (una muela cóncava y la otra convexa) que está ranurada hacia el centro para permitir el aplastamiento del grano y la salida por la mitad de la muela.</w:t>
      </w:r>
    </w:p>
    <w:p w:rsidR="00B159FE" w:rsidRPr="00C61423" w:rsidRDefault="00B159FE" w:rsidP="00B159FE">
      <w:pPr>
        <w:pStyle w:val="Prrafodelista"/>
        <w:spacing w:after="0"/>
        <w:jc w:val="both"/>
        <w:rPr>
          <w:rFonts w:ascii="Garamond" w:eastAsia="Calibri" w:hAnsi="Garamond" w:cs="Times New Roman"/>
          <w:b/>
          <w:lang w:val="es-ES_tradnl"/>
        </w:rPr>
      </w:pPr>
    </w:p>
    <w:p w:rsidR="00B159FE" w:rsidRPr="00C61423" w:rsidRDefault="00B159FE" w:rsidP="00B159FE">
      <w:pPr>
        <w:pStyle w:val="Prrafodelista"/>
        <w:numPr>
          <w:ilvl w:val="0"/>
          <w:numId w:val="17"/>
        </w:numPr>
        <w:spacing w:after="0"/>
        <w:jc w:val="both"/>
        <w:rPr>
          <w:rFonts w:ascii="Garamond" w:eastAsia="Calibri" w:hAnsi="Garamond" w:cs="Times New Roman"/>
          <w:b/>
          <w:lang w:val="es-ES_tradnl"/>
        </w:rPr>
      </w:pPr>
      <w:r w:rsidRPr="00C61423">
        <w:rPr>
          <w:rFonts w:ascii="Garamond" w:eastAsia="Calibri" w:hAnsi="Garamond" w:cs="Times New Roman"/>
          <w:b/>
          <w:lang w:val="es-ES_tradnl"/>
        </w:rPr>
        <w:t>Muelas para desfibrar</w:t>
      </w:r>
    </w:p>
    <w:p w:rsidR="00B159FE" w:rsidRPr="00C61423" w:rsidRDefault="00B159FE" w:rsidP="00B159FE">
      <w:pPr>
        <w:pStyle w:val="Prrafodelista"/>
        <w:spacing w:after="0"/>
        <w:ind w:left="1080"/>
        <w:jc w:val="both"/>
        <w:rPr>
          <w:rFonts w:ascii="Garamond" w:eastAsia="Calibri" w:hAnsi="Garamond" w:cs="Times New Roman"/>
          <w:lang w:val="es-ES_tradnl"/>
        </w:rPr>
      </w:pPr>
      <w:r w:rsidRPr="00C61423">
        <w:rPr>
          <w:rFonts w:ascii="Garamond" w:eastAsia="Calibri" w:hAnsi="Garamond" w:cs="Times New Roman"/>
          <w:lang w:val="es-ES_tradnl"/>
        </w:rPr>
        <w:t>Se trata de muelas de grandes dimensiones generalmente con un peso de varias toneladas, fabricadas en una sola pieza o en varios bloques acoplados por pegado. Una muela para desfibrar es una muela que responde a las condiciones siguientes: diámetro superior a 1,200 mm y espesor superior a 500 mm.</w:t>
      </w:r>
    </w:p>
    <w:p w:rsidR="00B159FE" w:rsidRPr="00C61423" w:rsidRDefault="00B159FE" w:rsidP="00B159FE">
      <w:pPr>
        <w:pStyle w:val="Prrafodelista"/>
        <w:spacing w:after="0"/>
        <w:jc w:val="both"/>
        <w:rPr>
          <w:rFonts w:ascii="Garamond" w:eastAsia="Calibri" w:hAnsi="Garamond" w:cs="Times New Roman"/>
          <w:lang w:val="es-ES_tradnl"/>
        </w:rPr>
      </w:pPr>
    </w:p>
    <w:p w:rsidR="00B159FE" w:rsidRPr="009D0FEC" w:rsidRDefault="00B159FE" w:rsidP="00B159FE">
      <w:pPr>
        <w:pStyle w:val="Prrafodelista"/>
        <w:numPr>
          <w:ilvl w:val="0"/>
          <w:numId w:val="15"/>
        </w:numPr>
        <w:spacing w:after="0"/>
        <w:jc w:val="both"/>
        <w:rPr>
          <w:rFonts w:ascii="Garamond" w:eastAsia="Calibri" w:hAnsi="Garamond" w:cs="Times New Roman"/>
          <w:lang w:val="es-419"/>
        </w:rPr>
      </w:pPr>
      <w:r>
        <w:rPr>
          <w:rFonts w:ascii="Garamond" w:eastAsia="Calibri" w:hAnsi="Garamond" w:cs="Times New Roman"/>
          <w:lang w:val="es-ES_tradnl"/>
        </w:rPr>
        <w:t xml:space="preserve">En la </w:t>
      </w:r>
      <w:r w:rsidRPr="00C61423">
        <w:rPr>
          <w:rFonts w:ascii="Garamond" w:eastAsia="Calibri" w:hAnsi="Garamond" w:cs="Times New Roman"/>
          <w:lang w:val="es-ES_tradnl"/>
        </w:rPr>
        <w:t>partida 68.10</w:t>
      </w:r>
      <w:r>
        <w:rPr>
          <w:rFonts w:ascii="Garamond" w:eastAsia="Calibri" w:hAnsi="Garamond" w:cs="Times New Roman"/>
          <w:lang w:val="es-ES_tradnl"/>
        </w:rPr>
        <w:t>:</w:t>
      </w:r>
    </w:p>
    <w:p w:rsidR="00B159FE" w:rsidRDefault="00B159FE" w:rsidP="00B159FE">
      <w:pPr>
        <w:pStyle w:val="Prrafodelista"/>
        <w:spacing w:after="0"/>
        <w:jc w:val="both"/>
        <w:rPr>
          <w:rFonts w:ascii="Garamond" w:eastAsia="Calibri" w:hAnsi="Garamond" w:cs="Times New Roman"/>
          <w:lang w:val="es-419"/>
        </w:rPr>
      </w:pPr>
    </w:p>
    <w:p w:rsidR="00B159FE" w:rsidRPr="002C530D" w:rsidRDefault="00B159FE" w:rsidP="00B159FE">
      <w:pPr>
        <w:spacing w:after="0"/>
        <w:ind w:left="708"/>
        <w:jc w:val="both"/>
        <w:rPr>
          <w:rFonts w:ascii="Garamond" w:eastAsia="Calibri" w:hAnsi="Garamond" w:cs="Times New Roman"/>
          <w:lang w:val="es-419"/>
        </w:rPr>
      </w:pPr>
      <w:r w:rsidRPr="002C530D">
        <w:rPr>
          <w:rFonts w:ascii="Garamond" w:eastAsia="Calibri" w:hAnsi="Garamond" w:cs="Times New Roman"/>
        </w:rPr>
        <w:lastRenderedPageBreak/>
        <w:t>Se designa con</w:t>
      </w:r>
      <w:r w:rsidRPr="002C530D">
        <w:rPr>
          <w:rFonts w:ascii="Garamond" w:eastAsia="Calibri" w:hAnsi="Garamond" w:cs="Times New Roman"/>
          <w:lang w:val="es-419"/>
        </w:rPr>
        <w:t xml:space="preserve"> el nombre de </w:t>
      </w:r>
      <w:r w:rsidRPr="002C530D">
        <w:rPr>
          <w:rFonts w:ascii="Garamond" w:eastAsia="Calibri" w:hAnsi="Garamond" w:cs="Times New Roman"/>
          <w:i/>
          <w:lang w:val="es-ES"/>
        </w:rPr>
        <w:t>piedra artificial</w:t>
      </w:r>
      <w:r w:rsidRPr="002C530D">
        <w:rPr>
          <w:rFonts w:ascii="Garamond" w:eastAsia="Calibri" w:hAnsi="Garamond" w:cs="Times New Roman"/>
          <w:lang w:val="es-419"/>
        </w:rPr>
        <w:t>, las imitaciones de piedra natural obtenidos por aglomeración con cemento, cal u otros aglomerantes (por ejemplo, plástico), de fragmentos, gránulos o polvo de piedra natural (por ejemplo: mármol u otras piedras calizas, granito, pórfido o serpentina). Los artículos de granito o terrazo constituyen igualmente variedades de piedra artificial.</w:t>
      </w:r>
    </w:p>
    <w:p w:rsidR="00B159FE" w:rsidRPr="00C61423" w:rsidRDefault="00B159FE" w:rsidP="00B159FE">
      <w:pPr>
        <w:pStyle w:val="Prrafodelista"/>
        <w:rPr>
          <w:rFonts w:ascii="Garamond" w:eastAsia="Calibri" w:hAnsi="Garamond" w:cs="Times New Roman"/>
          <w:lang w:val="es-419"/>
        </w:rPr>
      </w:pPr>
    </w:p>
    <w:p w:rsidR="00B159FE" w:rsidRPr="002C530D" w:rsidRDefault="00B159FE" w:rsidP="00B159FE">
      <w:pPr>
        <w:spacing w:after="0"/>
        <w:ind w:left="708"/>
        <w:jc w:val="both"/>
        <w:rPr>
          <w:rFonts w:ascii="Garamond" w:eastAsia="Calibri" w:hAnsi="Garamond" w:cs="Times New Roman"/>
        </w:rPr>
      </w:pPr>
      <w:r w:rsidRPr="002C530D">
        <w:rPr>
          <w:rFonts w:ascii="Garamond" w:eastAsia="Calibri" w:hAnsi="Garamond" w:cs="Times New Roman"/>
        </w:rPr>
        <w:t>La subpartida 6810.91 comprende los elementos prefabricados para la construcción o la ingeniería, tales como paneles de fachada, paredes interiores, elementos de suelo, elementos de cimentación, tablestacas, túneles, remate de chimeneas, y elementos de exclusas o de presas, muelles o cornisas. Estos elementos, generalmente de hormigón, llevan normalmente armaduras para facilitar su acoplamiento posterior.</w:t>
      </w:r>
    </w:p>
    <w:p w:rsidR="00B159FE" w:rsidRPr="009D0FEC" w:rsidRDefault="00B159FE" w:rsidP="00B159FE">
      <w:pPr>
        <w:pStyle w:val="Prrafodelista"/>
        <w:spacing w:after="0"/>
        <w:ind w:left="1440"/>
        <w:jc w:val="both"/>
        <w:rPr>
          <w:rFonts w:ascii="Garamond" w:eastAsia="Calibri" w:hAnsi="Garamond" w:cs="Times New Roman"/>
        </w:rPr>
      </w:pPr>
    </w:p>
    <w:p w:rsidR="00B159FE" w:rsidRDefault="00B159FE" w:rsidP="00B159FE">
      <w:pPr>
        <w:jc w:val="center"/>
        <w:rPr>
          <w:rFonts w:ascii="Garamond" w:hAnsi="Garamond"/>
          <w:b/>
        </w:rPr>
      </w:pPr>
    </w:p>
    <w:p w:rsidR="00B159FE" w:rsidRPr="00FB07E1" w:rsidRDefault="00B159FE" w:rsidP="00B159FE">
      <w:pPr>
        <w:spacing w:after="0"/>
        <w:jc w:val="center"/>
        <w:rPr>
          <w:rFonts w:ascii="Garamond" w:hAnsi="Garamond"/>
          <w:b/>
        </w:rPr>
      </w:pPr>
      <w:r>
        <w:rPr>
          <w:rFonts w:ascii="Garamond" w:hAnsi="Garamond"/>
          <w:b/>
        </w:rPr>
        <w:t>Capítulo 69</w:t>
      </w:r>
    </w:p>
    <w:p w:rsidR="00B159FE" w:rsidRDefault="00B159FE" w:rsidP="00B159FE">
      <w:pPr>
        <w:spacing w:after="0"/>
        <w:rPr>
          <w:rFonts w:ascii="Garamond" w:hAnsi="Garamond"/>
          <w:b/>
        </w:rPr>
      </w:pPr>
    </w:p>
    <w:p w:rsidR="00B159FE" w:rsidRDefault="00B159FE" w:rsidP="00B159FE">
      <w:pPr>
        <w:spacing w:after="0"/>
        <w:rPr>
          <w:rFonts w:ascii="Garamond" w:hAnsi="Garamond"/>
          <w:b/>
        </w:rPr>
      </w:pPr>
      <w:r w:rsidRPr="00FB07E1">
        <w:rPr>
          <w:rFonts w:ascii="Garamond" w:hAnsi="Garamond"/>
          <w:b/>
        </w:rPr>
        <w:t>Nota</w:t>
      </w:r>
      <w:r>
        <w:rPr>
          <w:rFonts w:ascii="Garamond" w:hAnsi="Garamond"/>
          <w:b/>
        </w:rPr>
        <w:t>s Nacionales</w:t>
      </w:r>
      <w:r w:rsidRPr="00FB07E1">
        <w:rPr>
          <w:rFonts w:ascii="Garamond" w:hAnsi="Garamond"/>
          <w:b/>
        </w:rPr>
        <w:t xml:space="preserve">: </w:t>
      </w:r>
    </w:p>
    <w:p w:rsidR="00B159FE" w:rsidRPr="002B0526" w:rsidRDefault="00B159FE" w:rsidP="00B159FE">
      <w:pPr>
        <w:spacing w:after="0"/>
        <w:rPr>
          <w:rFonts w:ascii="Garamond" w:hAnsi="Garamond"/>
          <w:b/>
        </w:rPr>
      </w:pPr>
    </w:p>
    <w:p w:rsidR="00B159FE" w:rsidRDefault="00B159FE" w:rsidP="00B159FE">
      <w:pPr>
        <w:pStyle w:val="Prrafodelista"/>
        <w:numPr>
          <w:ilvl w:val="0"/>
          <w:numId w:val="16"/>
        </w:numPr>
        <w:spacing w:after="0"/>
        <w:jc w:val="both"/>
        <w:rPr>
          <w:rFonts w:ascii="Garamond" w:eastAsia="Calibri" w:hAnsi="Garamond" w:cs="Times New Roman"/>
          <w:lang w:val="es-ES_tradnl"/>
        </w:rPr>
      </w:pPr>
      <w:r w:rsidRPr="002B0526">
        <w:rPr>
          <w:rFonts w:ascii="Garamond" w:eastAsia="Calibri" w:hAnsi="Garamond" w:cs="Times New Roman"/>
          <w:lang w:val="es-ES_tradnl"/>
        </w:rPr>
        <w:t>Para efectos del Capítulo 69 la operación de cocción se realiza en la pieza cruda cuando se calienta a una temperatura superior o igual a 800 °C, según la naturaleza del producto. Después de la cocción, los granos quedan estrechamente ligados por la difusión, la transformación química o la fusión parcial resultante.</w:t>
      </w:r>
    </w:p>
    <w:p w:rsidR="00B159FE" w:rsidRPr="002B0526" w:rsidRDefault="00B159FE" w:rsidP="00B159FE">
      <w:pPr>
        <w:pStyle w:val="Prrafodelista"/>
        <w:spacing w:after="0"/>
        <w:jc w:val="both"/>
        <w:rPr>
          <w:rFonts w:ascii="Garamond" w:eastAsia="Calibri" w:hAnsi="Garamond" w:cs="Times New Roman"/>
          <w:lang w:val="es-ES_tradnl"/>
        </w:rPr>
      </w:pPr>
    </w:p>
    <w:p w:rsidR="00B159FE" w:rsidRPr="002B0526" w:rsidRDefault="00B159FE" w:rsidP="00B159FE">
      <w:pPr>
        <w:pStyle w:val="Prrafodelista"/>
        <w:spacing w:after="0"/>
        <w:jc w:val="both"/>
        <w:rPr>
          <w:rFonts w:ascii="Garamond" w:eastAsia="Calibri" w:hAnsi="Garamond" w:cs="Times New Roman"/>
          <w:highlight w:val="yellow"/>
          <w:lang w:val="es-ES_tradnl"/>
        </w:rPr>
      </w:pPr>
      <w:r w:rsidRPr="002B0526">
        <w:rPr>
          <w:rFonts w:ascii="Garamond" w:eastAsia="Calibri" w:hAnsi="Garamond" w:cs="Times New Roman"/>
          <w:lang w:val="es-ES_tradnl"/>
        </w:rPr>
        <w:t>Los artículos calentados a temperaturas inferiores a 800 °C para endurecer resinas, acelerar reacciones de hidratación, o para eliminar el agua u otros componentes volátiles, no se consideran cocidos en el sentido de la Nota 1 de este Capítulo. Tales artículos se excluyen del Capítulo 69.</w:t>
      </w:r>
    </w:p>
    <w:p w:rsidR="00B159FE" w:rsidRPr="002B0526" w:rsidRDefault="00B159FE" w:rsidP="00B159FE">
      <w:pPr>
        <w:pStyle w:val="Prrafodelista"/>
        <w:rPr>
          <w:rFonts w:ascii="Garamond" w:eastAsia="Calibri" w:hAnsi="Garamond" w:cs="Times New Roman"/>
        </w:rPr>
      </w:pPr>
    </w:p>
    <w:p w:rsidR="00B159FE" w:rsidRPr="009072A2" w:rsidRDefault="00B159FE" w:rsidP="00B159FE">
      <w:pPr>
        <w:pStyle w:val="Prrafodelista"/>
        <w:numPr>
          <w:ilvl w:val="0"/>
          <w:numId w:val="16"/>
        </w:numPr>
        <w:spacing w:after="0"/>
        <w:jc w:val="both"/>
        <w:rPr>
          <w:rFonts w:ascii="Garamond" w:eastAsia="Calibri" w:hAnsi="Garamond" w:cs="Times New Roman"/>
          <w:lang w:val="es-ES_tradnl"/>
        </w:rPr>
      </w:pPr>
      <w:r w:rsidRPr="002B0526">
        <w:rPr>
          <w:rFonts w:ascii="Garamond" w:eastAsia="Calibri" w:hAnsi="Garamond" w:cs="Times New Roman"/>
        </w:rPr>
        <w:t xml:space="preserve">Se </w:t>
      </w:r>
      <w:r w:rsidRPr="009072A2">
        <w:rPr>
          <w:rFonts w:ascii="Garamond" w:eastAsia="Calibri" w:hAnsi="Garamond" w:cs="Times New Roman"/>
        </w:rPr>
        <w:t xml:space="preserve">excluyen </w:t>
      </w:r>
      <w:r>
        <w:rPr>
          <w:rFonts w:ascii="Garamond" w:eastAsia="Calibri" w:hAnsi="Garamond" w:cs="Times New Roman"/>
        </w:rPr>
        <w:t>también de este</w:t>
      </w:r>
      <w:r w:rsidRPr="002B0526">
        <w:rPr>
          <w:rFonts w:ascii="Garamond" w:eastAsia="Calibri" w:hAnsi="Garamond" w:cs="Times New Roman"/>
        </w:rPr>
        <w:t xml:space="preserve"> Capítulo los elementos cortados sin montar, de materias cerámicas piezoeléctricas, principalmente los de titanato de bario o de circotita</w:t>
      </w:r>
      <w:r>
        <w:rPr>
          <w:rFonts w:ascii="Garamond" w:eastAsia="Calibri" w:hAnsi="Garamond" w:cs="Times New Roman"/>
        </w:rPr>
        <w:t>nato de plomo (partida 38.24).</w:t>
      </w:r>
    </w:p>
    <w:p w:rsidR="00B159FE" w:rsidRDefault="00B159FE" w:rsidP="00B159FE">
      <w:pPr>
        <w:pStyle w:val="Prrafodelista"/>
        <w:spacing w:after="0"/>
        <w:jc w:val="both"/>
        <w:rPr>
          <w:rFonts w:ascii="Garamond" w:eastAsia="Calibri" w:hAnsi="Garamond" w:cs="Times New Roman"/>
          <w:lang w:val="es-ES_tradnl"/>
        </w:rPr>
      </w:pPr>
    </w:p>
    <w:p w:rsidR="00B159FE" w:rsidRPr="002B0526" w:rsidRDefault="00B159FE" w:rsidP="00B159FE">
      <w:pPr>
        <w:pStyle w:val="Prrafodelista"/>
        <w:numPr>
          <w:ilvl w:val="0"/>
          <w:numId w:val="16"/>
        </w:numPr>
        <w:spacing w:after="0"/>
        <w:jc w:val="both"/>
        <w:rPr>
          <w:rFonts w:ascii="Garamond" w:eastAsia="Calibri" w:hAnsi="Garamond" w:cs="Times New Roman"/>
        </w:rPr>
      </w:pPr>
      <w:r w:rsidRPr="002C530D">
        <w:rPr>
          <w:rFonts w:ascii="Garamond" w:eastAsia="Calibri" w:hAnsi="Garamond" w:cs="Times New Roman"/>
        </w:rPr>
        <w:lastRenderedPageBreak/>
        <w:t xml:space="preserve">En las partidas 69.02 y 69.03, los productos cerámicos refractarios propiamente dichos, </w:t>
      </w:r>
      <w:r w:rsidRPr="002B0526">
        <w:rPr>
          <w:rFonts w:ascii="Garamond" w:eastAsia="Calibri" w:hAnsi="Garamond" w:cs="Times New Roman"/>
        </w:rPr>
        <w:t>vocablo con el que se designan los materiales obtenidos por cocción que ofrecen como primera característica una resistencia especial a las altas temperaturas (del orden de las que se alcanzan en siderurgia, en la industria del vidrio, etc., superior o igual a 1,500 °C).</w:t>
      </w:r>
      <w:r>
        <w:rPr>
          <w:rFonts w:ascii="Garamond" w:eastAsia="Calibri" w:hAnsi="Garamond" w:cs="Times New Roman"/>
        </w:rPr>
        <w:t xml:space="preserve"> </w:t>
      </w:r>
      <w:r w:rsidRPr="002B0526">
        <w:rPr>
          <w:rFonts w:ascii="Garamond" w:eastAsia="Calibri" w:hAnsi="Garamond" w:cs="Times New Roman"/>
        </w:rPr>
        <w:t xml:space="preserve"> Según el uso concreto al que se destinen, pueden además presentar algunas de las propiedades siguientes: ser tan buenos aislantes térmicos como sea posible o por el contrario buenos conductores del calor, porosos o compactos, tener un coeficiente de dilatación bajo, soportar variaciones de temperatura bruscas, no destruirse por impregnaciones gaseosas o líquidas, resistir la acción de productos corrosivos, poseer una resistencia elevada a la compresión y resistir al frotamiento o a los choques repetidos.</w:t>
      </w:r>
    </w:p>
    <w:p w:rsidR="00B159FE" w:rsidRDefault="00B159FE" w:rsidP="00B159FE">
      <w:pPr>
        <w:pStyle w:val="Prrafodelista"/>
        <w:spacing w:after="0"/>
        <w:jc w:val="both"/>
        <w:rPr>
          <w:rFonts w:ascii="Garamond" w:eastAsia="Calibri" w:hAnsi="Garamond" w:cs="Times New Roman"/>
        </w:rPr>
      </w:pPr>
    </w:p>
    <w:p w:rsidR="00B159FE" w:rsidRDefault="00B159FE" w:rsidP="00B159FE">
      <w:pPr>
        <w:pStyle w:val="Prrafodelista"/>
        <w:spacing w:after="0"/>
        <w:jc w:val="both"/>
        <w:rPr>
          <w:rFonts w:ascii="Garamond" w:eastAsia="Calibri" w:hAnsi="Garamond" w:cs="Times New Roman"/>
        </w:rPr>
      </w:pPr>
      <w:r w:rsidRPr="002B0526">
        <w:rPr>
          <w:rFonts w:ascii="Garamond" w:eastAsia="Calibri" w:hAnsi="Garamond" w:cs="Times New Roman"/>
        </w:rPr>
        <w:t xml:space="preserve">Sin embargo, no debe concluirse de lo que precede que todas las manufacturas refractarias habrán de clasificarse en estas dos partidas. Es necesario, además, que estas manufacturas sean capaces de resistir temperaturas elevadas y que estén </w:t>
      </w:r>
      <w:r w:rsidRPr="002B0526">
        <w:rPr>
          <w:rFonts w:ascii="Garamond" w:eastAsia="Calibri" w:hAnsi="Garamond" w:cs="Times New Roman"/>
          <w:b/>
        </w:rPr>
        <w:t>concebidas</w:t>
      </w:r>
      <w:r w:rsidRPr="002B0526">
        <w:rPr>
          <w:rFonts w:ascii="Garamond" w:eastAsia="Calibri" w:hAnsi="Garamond" w:cs="Times New Roman"/>
        </w:rPr>
        <w:t xml:space="preserve"> para utilizaciones que exi</w:t>
      </w:r>
      <w:r>
        <w:rPr>
          <w:rFonts w:ascii="Garamond" w:eastAsia="Calibri" w:hAnsi="Garamond" w:cs="Times New Roman"/>
        </w:rPr>
        <w:t>jan las condiciones antedichas.</w:t>
      </w:r>
    </w:p>
    <w:p w:rsidR="00B159FE" w:rsidRDefault="00B159FE" w:rsidP="00B159FE">
      <w:pPr>
        <w:pStyle w:val="Prrafodelista"/>
        <w:spacing w:after="0"/>
        <w:jc w:val="both"/>
        <w:rPr>
          <w:rFonts w:ascii="Garamond" w:eastAsia="Calibri" w:hAnsi="Garamond" w:cs="Times New Roman"/>
        </w:rPr>
      </w:pPr>
    </w:p>
    <w:p w:rsidR="00B159FE" w:rsidRPr="002B0526" w:rsidRDefault="00B159FE" w:rsidP="00B159FE">
      <w:pPr>
        <w:pStyle w:val="Prrafodelista"/>
        <w:spacing w:after="0"/>
        <w:jc w:val="both"/>
        <w:rPr>
          <w:rFonts w:ascii="Garamond" w:eastAsia="Calibri" w:hAnsi="Garamond" w:cs="Times New Roman"/>
        </w:rPr>
      </w:pPr>
      <w:r w:rsidRPr="002B0526">
        <w:rPr>
          <w:rFonts w:ascii="Garamond" w:eastAsia="Calibri" w:hAnsi="Garamond" w:cs="Times New Roman"/>
        </w:rPr>
        <w:t>Resulta, por ejemplo, que un crisol de alúmina sinterizada se clasifica en la partida 69.03, pero no los guiahílos de esta misma materia, que son artículos utilizados en la industria textil para usos no refractarios. Estos últimos artículos se clasifican en la partida 69.09.</w:t>
      </w:r>
    </w:p>
    <w:p w:rsidR="00B159FE" w:rsidRDefault="00B159FE" w:rsidP="00B159FE">
      <w:pPr>
        <w:pStyle w:val="Prrafodelista"/>
        <w:spacing w:after="0"/>
        <w:jc w:val="both"/>
        <w:rPr>
          <w:rFonts w:ascii="Garamond" w:eastAsia="Calibri" w:hAnsi="Garamond" w:cs="Times New Roman"/>
          <w:lang w:val="es-ES_tradnl"/>
        </w:rPr>
      </w:pPr>
    </w:p>
    <w:p w:rsidR="00B159FE" w:rsidRDefault="00B159FE" w:rsidP="00B159FE">
      <w:pPr>
        <w:pStyle w:val="Prrafodelista"/>
        <w:numPr>
          <w:ilvl w:val="0"/>
          <w:numId w:val="16"/>
        </w:numPr>
        <w:spacing w:after="0"/>
        <w:jc w:val="both"/>
        <w:rPr>
          <w:rFonts w:ascii="Garamond" w:eastAsia="Calibri" w:hAnsi="Garamond" w:cs="Times New Roman"/>
        </w:rPr>
      </w:pPr>
      <w:r w:rsidRPr="002B0526">
        <w:rPr>
          <w:rFonts w:ascii="Garamond" w:eastAsia="Calibri" w:hAnsi="Garamond" w:cs="Times New Roman"/>
        </w:rPr>
        <w:t>Para la clasificación en la subpartida 6902.10, conviene tener en cuenta la cantidad de MgO, CaO u Cr2O3, tomados aisladamente o en conjunto. Este resultado se obtiene normalmente determinando la cantidad de los elementos Mg, Ca o Cr, y después calculando a partir de ésta la cantidad de óxido correspondiente. A título de ejemplo, un producto a base de silicato de calcio que contenga 40% de Ca (equivalente a 56% de CaO) se clasifica en esta subpartida.</w:t>
      </w:r>
    </w:p>
    <w:p w:rsidR="00B159FE" w:rsidRDefault="00B159FE" w:rsidP="00B159FE">
      <w:pPr>
        <w:pStyle w:val="Prrafodelista"/>
        <w:spacing w:after="0"/>
        <w:jc w:val="both"/>
        <w:rPr>
          <w:rFonts w:ascii="Garamond" w:eastAsia="Calibri" w:hAnsi="Garamond" w:cs="Times New Roman"/>
        </w:rPr>
      </w:pPr>
    </w:p>
    <w:p w:rsidR="00B159FE" w:rsidRPr="002B0526" w:rsidRDefault="00B159FE" w:rsidP="00B159FE">
      <w:pPr>
        <w:pStyle w:val="Prrafodelista"/>
        <w:spacing w:after="0"/>
        <w:jc w:val="both"/>
        <w:rPr>
          <w:rFonts w:ascii="Garamond" w:eastAsia="Calibri" w:hAnsi="Garamond" w:cs="Times New Roman"/>
        </w:rPr>
      </w:pPr>
    </w:p>
    <w:p w:rsidR="00B159FE" w:rsidRPr="002B0526" w:rsidRDefault="00B159FE" w:rsidP="00B159FE">
      <w:pPr>
        <w:pStyle w:val="Prrafodelista"/>
        <w:numPr>
          <w:ilvl w:val="0"/>
          <w:numId w:val="16"/>
        </w:numPr>
        <w:spacing w:after="0"/>
        <w:jc w:val="both"/>
        <w:rPr>
          <w:rFonts w:ascii="Garamond" w:eastAsia="Times New Roman" w:hAnsi="Garamond" w:cs="Times New Roman"/>
          <w:lang w:eastAsia="es-MX"/>
        </w:rPr>
      </w:pPr>
      <w:r w:rsidRPr="002B0526">
        <w:rPr>
          <w:rFonts w:ascii="Garamond" w:eastAsia="Times New Roman" w:hAnsi="Garamond" w:cs="Times New Roman"/>
          <w:lang w:eastAsia="es-MX"/>
        </w:rPr>
        <w:t>Para los efectos de la partida 69.07, el término “placas” comprende diversos artículos cerámicos de forma generalmente rectangular, tales como los adoquines, losas, planchas y artículos similares, que normalmente se emplean para la pavimentación o el solado.</w:t>
      </w:r>
    </w:p>
    <w:p w:rsidR="00B159FE" w:rsidRDefault="00B159FE" w:rsidP="00615A4E">
      <w:pPr>
        <w:jc w:val="center"/>
        <w:rPr>
          <w:rFonts w:ascii="Arial" w:hAnsi="Arial" w:cs="Arial"/>
          <w:b/>
          <w:i/>
          <w:u w:val="single"/>
        </w:rPr>
      </w:pPr>
    </w:p>
    <w:sectPr w:rsidR="00B159F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0F1" w:rsidRDefault="001850F1" w:rsidP="00615A4E">
      <w:pPr>
        <w:spacing w:after="0" w:line="240" w:lineRule="auto"/>
      </w:pPr>
      <w:r>
        <w:separator/>
      </w:r>
    </w:p>
  </w:endnote>
  <w:endnote w:type="continuationSeparator" w:id="0">
    <w:p w:rsidR="001850F1" w:rsidRDefault="001850F1" w:rsidP="0061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0F1" w:rsidRDefault="001850F1" w:rsidP="00615A4E">
      <w:pPr>
        <w:spacing w:after="0" w:line="240" w:lineRule="auto"/>
      </w:pPr>
      <w:r>
        <w:separator/>
      </w:r>
    </w:p>
  </w:footnote>
  <w:footnote w:type="continuationSeparator" w:id="0">
    <w:p w:rsidR="001850F1" w:rsidRDefault="001850F1" w:rsidP="00615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A4E" w:rsidRDefault="00615A4E">
    <w:pPr>
      <w:pStyle w:val="Encabezado"/>
    </w:pPr>
    <w:r>
      <w:rPr>
        <w:noProof/>
        <w:lang w:eastAsia="es-MX"/>
      </w:rPr>
      <w:drawing>
        <wp:anchor distT="0" distB="0" distL="114300" distR="114300" simplePos="0" relativeHeight="251659264" behindDoc="0" locked="0" layoutInCell="1" allowOverlap="1" wp14:anchorId="768637FD" wp14:editId="161EE08B">
          <wp:simplePos x="0" y="0"/>
          <wp:positionH relativeFrom="column">
            <wp:posOffset>-1019175</wp:posOffset>
          </wp:positionH>
          <wp:positionV relativeFrom="paragraph">
            <wp:posOffset>-362585</wp:posOffset>
          </wp:positionV>
          <wp:extent cx="2203450" cy="731520"/>
          <wp:effectExtent l="0" t="0" r="6350" b="0"/>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png"/>
                  <pic:cNvPicPr/>
                </pic:nvPicPr>
                <pic:blipFill>
                  <a:blip r:embed="rId1">
                    <a:extLst>
                      <a:ext uri="{28A0092B-C50C-407E-A947-70E740481C1C}">
                        <a14:useLocalDpi xmlns:a14="http://schemas.microsoft.com/office/drawing/2010/main" val="0"/>
                      </a:ext>
                    </a:extLst>
                  </a:blip>
                  <a:stretch>
                    <a:fillRect/>
                  </a:stretch>
                </pic:blipFill>
                <pic:spPr>
                  <a:xfrm>
                    <a:off x="0" y="0"/>
                    <a:ext cx="220345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6645"/>
    <w:multiLevelType w:val="hybridMultilevel"/>
    <w:tmpl w:val="7548AF96"/>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2D187C"/>
    <w:multiLevelType w:val="hybridMultilevel"/>
    <w:tmpl w:val="3A4A738C"/>
    <w:lvl w:ilvl="0" w:tplc="62B41782">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BF24ACF"/>
    <w:multiLevelType w:val="hybridMultilevel"/>
    <w:tmpl w:val="E9DAE1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533C41"/>
    <w:multiLevelType w:val="hybridMultilevel"/>
    <w:tmpl w:val="B8DEC3CC"/>
    <w:lvl w:ilvl="0" w:tplc="DFCE6E0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1D9632D7"/>
    <w:multiLevelType w:val="hybridMultilevel"/>
    <w:tmpl w:val="57ACC984"/>
    <w:lvl w:ilvl="0" w:tplc="080A0017">
      <w:start w:val="1"/>
      <w:numFmt w:val="lowerLetter"/>
      <w:lvlText w:val="%1)"/>
      <w:lvlJc w:val="left"/>
      <w:pPr>
        <w:ind w:left="720" w:hanging="360"/>
      </w:pPr>
    </w:lvl>
    <w:lvl w:ilvl="1" w:tplc="E856E258">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9C39AE"/>
    <w:multiLevelType w:val="hybridMultilevel"/>
    <w:tmpl w:val="BB5E7F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9F4B35"/>
    <w:multiLevelType w:val="hybridMultilevel"/>
    <w:tmpl w:val="FC667660"/>
    <w:lvl w:ilvl="0" w:tplc="DFCE6E0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30405403"/>
    <w:multiLevelType w:val="hybridMultilevel"/>
    <w:tmpl w:val="A18859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8F18B8"/>
    <w:multiLevelType w:val="hybridMultilevel"/>
    <w:tmpl w:val="BB5E7F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284DE8"/>
    <w:multiLevelType w:val="hybridMultilevel"/>
    <w:tmpl w:val="BB5E7F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BE2B48"/>
    <w:multiLevelType w:val="hybridMultilevel"/>
    <w:tmpl w:val="2C3EA5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484B392C"/>
    <w:multiLevelType w:val="hybridMultilevel"/>
    <w:tmpl w:val="3E1899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1E694C"/>
    <w:multiLevelType w:val="hybridMultilevel"/>
    <w:tmpl w:val="B8DEC3CC"/>
    <w:lvl w:ilvl="0" w:tplc="DFCE6E0C">
      <w:start w:val="1"/>
      <w:numFmt w:val="decimal"/>
      <w:lvlText w:val="%1°)"/>
      <w:lvlJc w:val="left"/>
      <w:pPr>
        <w:ind w:left="1776" w:hanging="360"/>
      </w:pPr>
      <w:rPr>
        <w:rFonts w:hint="default"/>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5A595C39"/>
    <w:multiLevelType w:val="hybridMultilevel"/>
    <w:tmpl w:val="0686BAB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DB66704"/>
    <w:multiLevelType w:val="hybridMultilevel"/>
    <w:tmpl w:val="C78E1BF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5FF9250B"/>
    <w:multiLevelType w:val="hybridMultilevel"/>
    <w:tmpl w:val="6102E298"/>
    <w:lvl w:ilvl="0" w:tplc="9D94BACC">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55491F"/>
    <w:multiLevelType w:val="hybridMultilevel"/>
    <w:tmpl w:val="E04A2BEC"/>
    <w:lvl w:ilvl="0" w:tplc="DFCE6E0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8"/>
  </w:num>
  <w:num w:numId="2">
    <w:abstractNumId w:val="9"/>
  </w:num>
  <w:num w:numId="3">
    <w:abstractNumId w:val="4"/>
  </w:num>
  <w:num w:numId="4">
    <w:abstractNumId w:val="0"/>
  </w:num>
  <w:num w:numId="5">
    <w:abstractNumId w:val="3"/>
  </w:num>
  <w:num w:numId="6">
    <w:abstractNumId w:val="10"/>
  </w:num>
  <w:num w:numId="7">
    <w:abstractNumId w:val="12"/>
  </w:num>
  <w:num w:numId="8">
    <w:abstractNumId w:val="16"/>
  </w:num>
  <w:num w:numId="9">
    <w:abstractNumId w:val="6"/>
  </w:num>
  <w:num w:numId="10">
    <w:abstractNumId w:val="15"/>
  </w:num>
  <w:num w:numId="11">
    <w:abstractNumId w:val="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num>
  <w:num w:numId="15">
    <w:abstractNumId w:val="5"/>
  </w:num>
  <w:num w:numId="16">
    <w:abstractNumId w:val="2"/>
  </w:num>
  <w:num w:numId="17">
    <w:abstractNumId w:val="14"/>
  </w:num>
  <w:num w:numId="1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4E"/>
    <w:rsid w:val="00047C8D"/>
    <w:rsid w:val="00086EEB"/>
    <w:rsid w:val="001850F1"/>
    <w:rsid w:val="001C4923"/>
    <w:rsid w:val="001E7A66"/>
    <w:rsid w:val="002B2AA5"/>
    <w:rsid w:val="003614DE"/>
    <w:rsid w:val="00373A2C"/>
    <w:rsid w:val="003A1395"/>
    <w:rsid w:val="004D7335"/>
    <w:rsid w:val="00537CE6"/>
    <w:rsid w:val="00615A4E"/>
    <w:rsid w:val="00751B5F"/>
    <w:rsid w:val="009C5CD1"/>
    <w:rsid w:val="00A06A37"/>
    <w:rsid w:val="00B159FE"/>
    <w:rsid w:val="00B24F9D"/>
    <w:rsid w:val="00BB48B8"/>
    <w:rsid w:val="00D87E58"/>
    <w:rsid w:val="00EA2204"/>
    <w:rsid w:val="00EF630A"/>
    <w:rsid w:val="00F9738B"/>
    <w:rsid w:val="00FD09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592E4-D1B8-4ED7-9461-DCDF0417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A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
    <w:name w:val="SE"/>
    <w:basedOn w:val="Normal"/>
    <w:link w:val="SECar"/>
    <w:autoRedefine/>
    <w:qFormat/>
    <w:rsid w:val="004D7335"/>
    <w:pPr>
      <w:spacing w:after="0" w:line="240" w:lineRule="auto"/>
      <w:jc w:val="center"/>
    </w:pPr>
    <w:rPr>
      <w:rFonts w:ascii="Garamond" w:eastAsia="Times New Roman" w:hAnsi="Garamond" w:cs="Times New Roman"/>
      <w:b/>
      <w:smallCaps/>
      <w:color w:val="595959" w:themeColor="text1" w:themeTint="A6"/>
      <w:sz w:val="28"/>
      <w:szCs w:val="26"/>
      <w:lang w:val="es-ES_tradnl" w:eastAsia="es-ES"/>
    </w:rPr>
  </w:style>
  <w:style w:type="character" w:customStyle="1" w:styleId="SECar">
    <w:name w:val="SE Car"/>
    <w:basedOn w:val="Fuentedeprrafopredeter"/>
    <w:link w:val="SE"/>
    <w:rsid w:val="004D7335"/>
    <w:rPr>
      <w:rFonts w:ascii="Garamond" w:eastAsia="Times New Roman" w:hAnsi="Garamond" w:cs="Times New Roman"/>
      <w:b/>
      <w:smallCaps/>
      <w:color w:val="595959" w:themeColor="text1" w:themeTint="A6"/>
      <w:sz w:val="28"/>
      <w:szCs w:val="26"/>
      <w:lang w:val="es-ES_tradnl" w:eastAsia="es-ES"/>
    </w:rPr>
  </w:style>
  <w:style w:type="paragraph" w:styleId="Prrafodelista">
    <w:name w:val="List Paragraph"/>
    <w:basedOn w:val="Normal"/>
    <w:uiPriority w:val="34"/>
    <w:qFormat/>
    <w:rsid w:val="00615A4E"/>
    <w:pPr>
      <w:ind w:left="720"/>
      <w:contextualSpacing/>
    </w:pPr>
  </w:style>
  <w:style w:type="paragraph" w:styleId="Encabezado">
    <w:name w:val="header"/>
    <w:basedOn w:val="Normal"/>
    <w:link w:val="EncabezadoCar"/>
    <w:uiPriority w:val="99"/>
    <w:unhideWhenUsed/>
    <w:rsid w:val="00615A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5A4E"/>
  </w:style>
  <w:style w:type="paragraph" w:styleId="Piedepgina">
    <w:name w:val="footer"/>
    <w:basedOn w:val="Normal"/>
    <w:link w:val="PiedepginaCar"/>
    <w:uiPriority w:val="99"/>
    <w:unhideWhenUsed/>
    <w:rsid w:val="00615A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5A4E"/>
  </w:style>
  <w:style w:type="character" w:styleId="Refdecomentario">
    <w:name w:val="annotation reference"/>
    <w:basedOn w:val="Fuentedeprrafopredeter"/>
    <w:uiPriority w:val="99"/>
    <w:semiHidden/>
    <w:unhideWhenUsed/>
    <w:rsid w:val="00047C8D"/>
    <w:rPr>
      <w:sz w:val="16"/>
      <w:szCs w:val="16"/>
    </w:rPr>
  </w:style>
  <w:style w:type="paragraph" w:styleId="Textocomentario">
    <w:name w:val="annotation text"/>
    <w:basedOn w:val="Normal"/>
    <w:link w:val="TextocomentarioCar"/>
    <w:uiPriority w:val="99"/>
    <w:unhideWhenUsed/>
    <w:rsid w:val="00047C8D"/>
    <w:pPr>
      <w:spacing w:line="240" w:lineRule="auto"/>
    </w:pPr>
    <w:rPr>
      <w:sz w:val="20"/>
      <w:szCs w:val="20"/>
    </w:rPr>
  </w:style>
  <w:style w:type="character" w:customStyle="1" w:styleId="TextocomentarioCar">
    <w:name w:val="Texto comentario Car"/>
    <w:basedOn w:val="Fuentedeprrafopredeter"/>
    <w:link w:val="Textocomentario"/>
    <w:uiPriority w:val="99"/>
    <w:rsid w:val="00047C8D"/>
    <w:rPr>
      <w:sz w:val="20"/>
      <w:szCs w:val="20"/>
    </w:rPr>
  </w:style>
  <w:style w:type="paragraph" w:styleId="Textodeglobo">
    <w:name w:val="Balloon Text"/>
    <w:basedOn w:val="Normal"/>
    <w:link w:val="TextodegloboCar"/>
    <w:uiPriority w:val="99"/>
    <w:semiHidden/>
    <w:unhideWhenUsed/>
    <w:rsid w:val="00047C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C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4169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dc:creator>
  <cp:keywords/>
  <dc:description/>
  <cp:lastModifiedBy>Angie Gisel Ramos Garduño</cp:lastModifiedBy>
  <cp:revision>2</cp:revision>
  <dcterms:created xsi:type="dcterms:W3CDTF">2018-07-11T23:24:00Z</dcterms:created>
  <dcterms:modified xsi:type="dcterms:W3CDTF">2018-07-11T23:24:00Z</dcterms:modified>
</cp:coreProperties>
</file>