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64" w:rsidRDefault="00CA7B64">
      <w:pPr>
        <w:rPr>
          <w:rFonts w:ascii="Montserrat" w:hAnsi="Montserrat"/>
          <w:b/>
          <w:sz w:val="20"/>
          <w:szCs w:val="20"/>
        </w:rPr>
      </w:pPr>
    </w:p>
    <w:p w:rsidR="006F1CB0" w:rsidRDefault="006F1CB0" w:rsidP="00CA7B64">
      <w:pPr>
        <w:jc w:val="center"/>
        <w:rPr>
          <w:rFonts w:ascii="Montserrat" w:hAnsi="Montserrat"/>
          <w:b/>
          <w:sz w:val="24"/>
          <w:szCs w:val="20"/>
        </w:rPr>
      </w:pPr>
      <w:r w:rsidRPr="00CA7B64">
        <w:rPr>
          <w:rFonts w:ascii="Montserrat" w:hAnsi="Montserrat"/>
          <w:b/>
          <w:sz w:val="24"/>
          <w:szCs w:val="20"/>
        </w:rPr>
        <w:t>Preguntas frecuentes</w:t>
      </w:r>
    </w:p>
    <w:p w:rsidR="00CA7B64" w:rsidRDefault="00CA7B64" w:rsidP="00CA7B64">
      <w:pPr>
        <w:jc w:val="center"/>
        <w:rPr>
          <w:rFonts w:ascii="Montserrat" w:hAnsi="Montserrat"/>
          <w:b/>
          <w:sz w:val="24"/>
          <w:szCs w:val="20"/>
        </w:rPr>
      </w:pPr>
      <w:r w:rsidRPr="00CA7B64">
        <w:rPr>
          <w:rFonts w:ascii="Montserrat" w:hAnsi="Montserrat"/>
          <w:b/>
          <w:sz w:val="24"/>
          <w:szCs w:val="20"/>
        </w:rPr>
        <w:t>Programas de Promoción Sectorial (PROSEC)</w:t>
      </w:r>
    </w:p>
    <w:p w:rsidR="00CA7B64" w:rsidRDefault="00CA7B64">
      <w:pPr>
        <w:rPr>
          <w:rFonts w:ascii="Montserrat" w:hAnsi="Montserrat"/>
          <w:b/>
          <w:sz w:val="20"/>
          <w:szCs w:val="20"/>
        </w:rPr>
      </w:pPr>
    </w:p>
    <w:p w:rsidR="006F1CB0" w:rsidRPr="00CA7B64" w:rsidRDefault="006F1CB0" w:rsidP="00CA7B64">
      <w:pPr>
        <w:pStyle w:val="Prrafodelista"/>
        <w:numPr>
          <w:ilvl w:val="0"/>
          <w:numId w:val="1"/>
        </w:numPr>
        <w:rPr>
          <w:rFonts w:ascii="Montserrat" w:hAnsi="Montserrat"/>
          <w:b/>
          <w:sz w:val="20"/>
          <w:szCs w:val="20"/>
        </w:rPr>
      </w:pPr>
      <w:r w:rsidRPr="00CA7B64">
        <w:rPr>
          <w:rFonts w:ascii="Montserrat" w:hAnsi="Montserrat"/>
          <w:b/>
          <w:sz w:val="20"/>
          <w:szCs w:val="20"/>
        </w:rPr>
        <w:t>¿Quién puede solicitar un Programa de Promoción Sectorial PROSEC?</w:t>
      </w:r>
    </w:p>
    <w:p w:rsidR="006F1CB0" w:rsidRDefault="006F1CB0">
      <w:pPr>
        <w:rPr>
          <w:rFonts w:ascii="Montserrat" w:hAnsi="Montserrat"/>
          <w:sz w:val="20"/>
          <w:szCs w:val="20"/>
        </w:rPr>
      </w:pPr>
      <w:r w:rsidRPr="006F1CB0">
        <w:rPr>
          <w:rFonts w:ascii="Montserrat" w:hAnsi="Montserrat"/>
          <w:sz w:val="20"/>
          <w:szCs w:val="20"/>
        </w:rPr>
        <w:t xml:space="preserve">Personas morales, establecidas en el país productoras de bienes  </w:t>
      </w:r>
    </w:p>
    <w:p w:rsidR="006F1CB0" w:rsidRPr="00CA7B64" w:rsidRDefault="006F1CB0" w:rsidP="00CA7B64">
      <w:pPr>
        <w:pStyle w:val="Prrafodelista"/>
        <w:numPr>
          <w:ilvl w:val="0"/>
          <w:numId w:val="1"/>
        </w:numPr>
        <w:rPr>
          <w:rFonts w:ascii="Montserrat" w:hAnsi="Montserrat"/>
          <w:b/>
          <w:sz w:val="20"/>
          <w:szCs w:val="20"/>
        </w:rPr>
      </w:pPr>
      <w:r w:rsidRPr="00CA7B64">
        <w:rPr>
          <w:rFonts w:ascii="Montserrat" w:hAnsi="Montserrat"/>
          <w:b/>
          <w:sz w:val="20"/>
          <w:szCs w:val="20"/>
        </w:rPr>
        <w:t xml:space="preserve">¿Cuántos Programas de Promoción Sectorial PROSEC (sectores) existen? </w:t>
      </w:r>
    </w:p>
    <w:p w:rsidR="006F1CB0" w:rsidRDefault="006F1CB0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Existen 24 que son: </w:t>
      </w: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  <w:r w:rsidRPr="000B3598">
        <w:rPr>
          <w:rFonts w:ascii="Montserrat" w:hAnsi="Montserrat"/>
          <w:b/>
          <w:sz w:val="20"/>
          <w:szCs w:val="20"/>
        </w:rPr>
        <w:t>I.</w:t>
      </w:r>
      <w:r w:rsidRPr="000B3598">
        <w:rPr>
          <w:rFonts w:ascii="Montserrat" w:hAnsi="Montserrat"/>
          <w:sz w:val="20"/>
          <w:szCs w:val="20"/>
        </w:rPr>
        <w:tab/>
        <w:t xml:space="preserve">De la Industria Eléctrica;  </w:t>
      </w: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  <w:r w:rsidRPr="000B3598">
        <w:rPr>
          <w:rFonts w:ascii="Montserrat" w:hAnsi="Montserrat"/>
          <w:b/>
          <w:sz w:val="20"/>
          <w:szCs w:val="20"/>
        </w:rPr>
        <w:t>II.</w:t>
      </w:r>
      <w:r w:rsidRPr="000B3598">
        <w:rPr>
          <w:rFonts w:ascii="Montserrat" w:hAnsi="Montserrat"/>
          <w:sz w:val="20"/>
          <w:szCs w:val="20"/>
        </w:rPr>
        <w:tab/>
        <w:t>De la Industria Electrónica;</w:t>
      </w: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  <w:r w:rsidRPr="000B3598">
        <w:rPr>
          <w:rFonts w:ascii="Montserrat" w:hAnsi="Montserrat"/>
          <w:b/>
          <w:sz w:val="20"/>
          <w:szCs w:val="20"/>
        </w:rPr>
        <w:t>III.</w:t>
      </w:r>
      <w:r w:rsidRPr="000B3598">
        <w:rPr>
          <w:rFonts w:ascii="Montserrat" w:hAnsi="Montserrat"/>
          <w:b/>
          <w:sz w:val="20"/>
          <w:szCs w:val="20"/>
        </w:rPr>
        <w:tab/>
      </w:r>
      <w:r w:rsidRPr="000B3598">
        <w:rPr>
          <w:rFonts w:ascii="Montserrat" w:hAnsi="Montserrat"/>
          <w:sz w:val="20"/>
          <w:szCs w:val="20"/>
        </w:rPr>
        <w:t>De la Industria del Mueble;</w:t>
      </w: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  <w:r w:rsidRPr="000B3598">
        <w:rPr>
          <w:rFonts w:ascii="Montserrat" w:hAnsi="Montserrat"/>
          <w:b/>
          <w:sz w:val="20"/>
          <w:szCs w:val="20"/>
        </w:rPr>
        <w:t>IV.</w:t>
      </w:r>
      <w:r w:rsidRPr="000B3598">
        <w:rPr>
          <w:rFonts w:ascii="Montserrat" w:hAnsi="Montserrat"/>
          <w:b/>
          <w:sz w:val="20"/>
          <w:szCs w:val="20"/>
        </w:rPr>
        <w:tab/>
      </w:r>
      <w:r w:rsidRPr="000B3598">
        <w:rPr>
          <w:rFonts w:ascii="Montserrat" w:hAnsi="Montserrat"/>
          <w:sz w:val="20"/>
          <w:szCs w:val="20"/>
        </w:rPr>
        <w:t>De la Industria del Juguete, Juegos de Recreo y Artículos Deportivos;</w:t>
      </w: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  <w:r w:rsidRPr="000B3598">
        <w:rPr>
          <w:rFonts w:ascii="Montserrat" w:hAnsi="Montserrat"/>
          <w:b/>
          <w:sz w:val="20"/>
          <w:szCs w:val="20"/>
        </w:rPr>
        <w:t>V.</w:t>
      </w:r>
      <w:r w:rsidRPr="000B3598">
        <w:rPr>
          <w:rFonts w:ascii="Montserrat" w:hAnsi="Montserrat"/>
          <w:b/>
          <w:sz w:val="20"/>
          <w:szCs w:val="20"/>
        </w:rPr>
        <w:tab/>
      </w:r>
      <w:r w:rsidRPr="000B3598">
        <w:rPr>
          <w:rFonts w:ascii="Montserrat" w:hAnsi="Montserrat"/>
          <w:sz w:val="20"/>
          <w:szCs w:val="20"/>
        </w:rPr>
        <w:t>De la Industria del Calzado;</w:t>
      </w: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  <w:r w:rsidRPr="000B3598">
        <w:rPr>
          <w:rFonts w:ascii="Montserrat" w:hAnsi="Montserrat"/>
          <w:b/>
          <w:sz w:val="20"/>
          <w:szCs w:val="20"/>
        </w:rPr>
        <w:t>VI.</w:t>
      </w:r>
      <w:r w:rsidRPr="000B3598">
        <w:rPr>
          <w:rFonts w:ascii="Montserrat" w:hAnsi="Montserrat"/>
          <w:b/>
          <w:sz w:val="20"/>
          <w:szCs w:val="20"/>
        </w:rPr>
        <w:tab/>
      </w:r>
      <w:r w:rsidRPr="000B3598">
        <w:rPr>
          <w:rFonts w:ascii="Montserrat" w:hAnsi="Montserrat"/>
          <w:sz w:val="20"/>
          <w:szCs w:val="20"/>
        </w:rPr>
        <w:t>De la Industria Minera y Metalúrgica;</w:t>
      </w: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  <w:r w:rsidRPr="000B3598">
        <w:rPr>
          <w:rFonts w:ascii="Montserrat" w:hAnsi="Montserrat"/>
          <w:b/>
          <w:sz w:val="20"/>
          <w:szCs w:val="20"/>
        </w:rPr>
        <w:t>VII.</w:t>
      </w:r>
      <w:r w:rsidRPr="000B3598">
        <w:rPr>
          <w:rFonts w:ascii="Montserrat" w:hAnsi="Montserrat"/>
          <w:b/>
          <w:sz w:val="20"/>
          <w:szCs w:val="20"/>
        </w:rPr>
        <w:tab/>
      </w:r>
      <w:r w:rsidRPr="000B3598">
        <w:rPr>
          <w:rFonts w:ascii="Montserrat" w:hAnsi="Montserrat"/>
          <w:sz w:val="20"/>
          <w:szCs w:val="20"/>
        </w:rPr>
        <w:t>De la Industria de Bienes de Capital;</w:t>
      </w: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  <w:r w:rsidRPr="000B3598">
        <w:rPr>
          <w:rFonts w:ascii="Montserrat" w:hAnsi="Montserrat"/>
          <w:b/>
          <w:sz w:val="20"/>
          <w:szCs w:val="20"/>
        </w:rPr>
        <w:t>VIII.</w:t>
      </w:r>
      <w:r w:rsidRPr="000B3598">
        <w:rPr>
          <w:rFonts w:ascii="Montserrat" w:hAnsi="Montserrat"/>
          <w:sz w:val="20"/>
          <w:szCs w:val="20"/>
        </w:rPr>
        <w:tab/>
        <w:t>De la Industria Fotográfica;</w:t>
      </w: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  <w:r w:rsidRPr="000B3598">
        <w:rPr>
          <w:rFonts w:ascii="Montserrat" w:hAnsi="Montserrat"/>
          <w:b/>
          <w:sz w:val="20"/>
          <w:szCs w:val="20"/>
        </w:rPr>
        <w:t>IX.</w:t>
      </w:r>
      <w:r w:rsidRPr="000B3598">
        <w:rPr>
          <w:rFonts w:ascii="Montserrat" w:hAnsi="Montserrat"/>
          <w:sz w:val="20"/>
          <w:szCs w:val="20"/>
        </w:rPr>
        <w:tab/>
        <w:t>De la Industria de Maquinaria Agrícola;</w:t>
      </w: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  <w:r w:rsidRPr="000B3598">
        <w:rPr>
          <w:rFonts w:ascii="Montserrat" w:hAnsi="Montserrat"/>
          <w:b/>
          <w:sz w:val="20"/>
          <w:szCs w:val="20"/>
        </w:rPr>
        <w:t>X.</w:t>
      </w:r>
      <w:r w:rsidRPr="000B3598">
        <w:rPr>
          <w:rFonts w:ascii="Montserrat" w:hAnsi="Montserrat"/>
          <w:sz w:val="20"/>
          <w:szCs w:val="20"/>
        </w:rPr>
        <w:tab/>
        <w:t>De las Industrias Diversas;</w:t>
      </w: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  <w:r w:rsidRPr="000B3598">
        <w:rPr>
          <w:rFonts w:ascii="Montserrat" w:hAnsi="Montserrat"/>
          <w:b/>
          <w:sz w:val="20"/>
          <w:szCs w:val="20"/>
        </w:rPr>
        <w:t>XI.</w:t>
      </w:r>
      <w:r w:rsidRPr="000B3598">
        <w:rPr>
          <w:rFonts w:ascii="Montserrat" w:hAnsi="Montserrat"/>
          <w:sz w:val="20"/>
          <w:szCs w:val="20"/>
        </w:rPr>
        <w:tab/>
        <w:t>De la Industria Química;</w:t>
      </w: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  <w:r w:rsidRPr="000B3598">
        <w:rPr>
          <w:rFonts w:ascii="Montserrat" w:hAnsi="Montserrat"/>
          <w:b/>
          <w:sz w:val="20"/>
          <w:szCs w:val="20"/>
        </w:rPr>
        <w:t>XII.</w:t>
      </w:r>
      <w:r w:rsidRPr="000B3598">
        <w:rPr>
          <w:rFonts w:ascii="Montserrat" w:hAnsi="Montserrat"/>
          <w:sz w:val="20"/>
          <w:szCs w:val="20"/>
        </w:rPr>
        <w:tab/>
        <w:t>De la Industria de Manufacturas del Caucho y Plástico;</w:t>
      </w: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  <w:r w:rsidRPr="000B3598">
        <w:rPr>
          <w:rFonts w:ascii="Montserrat" w:hAnsi="Montserrat"/>
          <w:b/>
          <w:sz w:val="20"/>
          <w:szCs w:val="20"/>
        </w:rPr>
        <w:t>XIII.</w:t>
      </w:r>
      <w:r w:rsidRPr="000B3598">
        <w:rPr>
          <w:rFonts w:ascii="Montserrat" w:hAnsi="Montserrat"/>
          <w:sz w:val="20"/>
          <w:szCs w:val="20"/>
        </w:rPr>
        <w:tab/>
        <w:t>De la Industria Siderúrgica;</w:t>
      </w: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  <w:r w:rsidRPr="000B3598">
        <w:rPr>
          <w:rFonts w:ascii="Montserrat" w:hAnsi="Montserrat"/>
          <w:b/>
          <w:sz w:val="20"/>
          <w:szCs w:val="20"/>
        </w:rPr>
        <w:t>XIV.</w:t>
      </w:r>
      <w:r w:rsidRPr="000B3598">
        <w:rPr>
          <w:rFonts w:ascii="Montserrat" w:hAnsi="Montserrat"/>
          <w:sz w:val="20"/>
          <w:szCs w:val="20"/>
        </w:rPr>
        <w:tab/>
        <w:t xml:space="preserve">De la Industria de Productos </w:t>
      </w:r>
      <w:proofErr w:type="spellStart"/>
      <w:r w:rsidRPr="000B3598">
        <w:rPr>
          <w:rFonts w:ascii="Montserrat" w:hAnsi="Montserrat"/>
          <w:sz w:val="20"/>
          <w:szCs w:val="20"/>
        </w:rPr>
        <w:t>Farmoquímicos</w:t>
      </w:r>
      <w:proofErr w:type="spellEnd"/>
      <w:r w:rsidRPr="000B3598">
        <w:rPr>
          <w:rFonts w:ascii="Montserrat" w:hAnsi="Montserrat"/>
          <w:sz w:val="20"/>
          <w:szCs w:val="20"/>
        </w:rPr>
        <w:t>, Medicamentos y Equipo Médico;</w:t>
      </w: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  <w:r w:rsidRPr="000B3598">
        <w:rPr>
          <w:rFonts w:ascii="Montserrat" w:hAnsi="Montserrat"/>
          <w:b/>
          <w:sz w:val="20"/>
          <w:szCs w:val="20"/>
        </w:rPr>
        <w:t>XV.</w:t>
      </w:r>
      <w:r w:rsidRPr="000B3598">
        <w:rPr>
          <w:rFonts w:ascii="Montserrat" w:hAnsi="Montserrat"/>
          <w:sz w:val="20"/>
          <w:szCs w:val="20"/>
        </w:rPr>
        <w:tab/>
        <w:t>De la Industria del Transporte, excepto el Sector de la Industria Automotriz y de Autopartes;</w:t>
      </w: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  <w:r w:rsidRPr="000B3598">
        <w:rPr>
          <w:rFonts w:ascii="Montserrat" w:hAnsi="Montserrat"/>
          <w:b/>
          <w:sz w:val="20"/>
          <w:szCs w:val="20"/>
        </w:rPr>
        <w:t>XVI.</w:t>
      </w:r>
      <w:r w:rsidRPr="000B3598">
        <w:rPr>
          <w:rFonts w:ascii="Montserrat" w:hAnsi="Montserrat"/>
          <w:sz w:val="20"/>
          <w:szCs w:val="20"/>
        </w:rPr>
        <w:tab/>
        <w:t>De la Industria del Papel y Cartón;</w:t>
      </w: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  <w:r w:rsidRPr="000B3598">
        <w:rPr>
          <w:rFonts w:ascii="Montserrat" w:hAnsi="Montserrat"/>
          <w:b/>
          <w:sz w:val="20"/>
          <w:szCs w:val="20"/>
        </w:rPr>
        <w:t>XVII.</w:t>
      </w:r>
      <w:r w:rsidRPr="000B3598">
        <w:rPr>
          <w:rFonts w:ascii="Montserrat" w:hAnsi="Montserrat"/>
          <w:sz w:val="20"/>
          <w:szCs w:val="20"/>
        </w:rPr>
        <w:tab/>
        <w:t>De la Industria de la Madera;</w:t>
      </w: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  <w:r w:rsidRPr="000B3598">
        <w:rPr>
          <w:rFonts w:ascii="Montserrat" w:hAnsi="Montserrat"/>
          <w:b/>
          <w:sz w:val="20"/>
          <w:szCs w:val="20"/>
        </w:rPr>
        <w:t>XVIII.</w:t>
      </w:r>
      <w:r w:rsidRPr="000B3598">
        <w:rPr>
          <w:rFonts w:ascii="Montserrat" w:hAnsi="Montserrat"/>
          <w:b/>
          <w:sz w:val="20"/>
          <w:szCs w:val="20"/>
        </w:rPr>
        <w:tab/>
      </w:r>
      <w:r w:rsidRPr="000B3598">
        <w:rPr>
          <w:rFonts w:ascii="Montserrat" w:hAnsi="Montserrat"/>
          <w:sz w:val="20"/>
          <w:szCs w:val="20"/>
        </w:rPr>
        <w:t>De la Industria del Cuero y Pieles;</w:t>
      </w: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  <w:r w:rsidRPr="000B3598">
        <w:rPr>
          <w:rFonts w:ascii="Montserrat" w:hAnsi="Montserrat"/>
          <w:b/>
          <w:sz w:val="20"/>
          <w:szCs w:val="20"/>
        </w:rPr>
        <w:t>XIX.</w:t>
      </w:r>
      <w:r w:rsidRPr="000B3598">
        <w:rPr>
          <w:rFonts w:ascii="Montserrat" w:hAnsi="Montserrat"/>
          <w:sz w:val="20"/>
          <w:szCs w:val="20"/>
        </w:rPr>
        <w:tab/>
        <w:t>De la Industria Automotriz y de Autopartes;</w:t>
      </w: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  <w:r w:rsidRPr="000B3598">
        <w:rPr>
          <w:rFonts w:ascii="Montserrat" w:hAnsi="Montserrat"/>
          <w:b/>
          <w:sz w:val="20"/>
          <w:szCs w:val="20"/>
        </w:rPr>
        <w:t>XX.</w:t>
      </w:r>
      <w:r w:rsidRPr="000B3598">
        <w:rPr>
          <w:rFonts w:ascii="Montserrat" w:hAnsi="Montserrat"/>
          <w:sz w:val="20"/>
          <w:szCs w:val="20"/>
        </w:rPr>
        <w:tab/>
        <w:t>De la Industria Textil y de la Confección;</w:t>
      </w: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  <w:r w:rsidRPr="000B3598">
        <w:rPr>
          <w:rFonts w:ascii="Montserrat" w:hAnsi="Montserrat"/>
          <w:b/>
          <w:sz w:val="20"/>
          <w:szCs w:val="20"/>
        </w:rPr>
        <w:t>XXI.</w:t>
      </w:r>
      <w:r w:rsidRPr="000B3598">
        <w:rPr>
          <w:rFonts w:ascii="Montserrat" w:hAnsi="Montserrat"/>
          <w:sz w:val="20"/>
          <w:szCs w:val="20"/>
        </w:rPr>
        <w:tab/>
        <w:t>De la Industria de Chocolates, Dulces y Similares, y</w:t>
      </w: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  <w:r w:rsidRPr="000B3598">
        <w:rPr>
          <w:rFonts w:ascii="Montserrat" w:hAnsi="Montserrat"/>
          <w:b/>
          <w:sz w:val="20"/>
          <w:szCs w:val="20"/>
        </w:rPr>
        <w:t>XXII.</w:t>
      </w:r>
      <w:r w:rsidRPr="000B3598">
        <w:rPr>
          <w:rFonts w:ascii="Montserrat" w:hAnsi="Montserrat"/>
          <w:sz w:val="20"/>
          <w:szCs w:val="20"/>
        </w:rPr>
        <w:tab/>
        <w:t>De la Industria del Café.</w:t>
      </w: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</w:p>
    <w:p w:rsidR="006F1CB0" w:rsidRPr="000B3598" w:rsidRDefault="006F1CB0" w:rsidP="006F1CB0">
      <w:pPr>
        <w:pStyle w:val="ROMANO"/>
        <w:widowControl/>
        <w:spacing w:after="0" w:line="240" w:lineRule="auto"/>
        <w:rPr>
          <w:rFonts w:ascii="Montserrat" w:hAnsi="Montserrat"/>
          <w:sz w:val="20"/>
          <w:szCs w:val="20"/>
        </w:rPr>
      </w:pPr>
      <w:r w:rsidRPr="000B3598">
        <w:rPr>
          <w:rFonts w:ascii="Montserrat" w:hAnsi="Montserrat"/>
          <w:b/>
          <w:sz w:val="20"/>
          <w:szCs w:val="20"/>
        </w:rPr>
        <w:t>XXIII.</w:t>
      </w:r>
      <w:r w:rsidRPr="000B3598">
        <w:rPr>
          <w:rFonts w:ascii="Montserrat" w:hAnsi="Montserrat"/>
          <w:sz w:val="20"/>
          <w:szCs w:val="20"/>
        </w:rPr>
        <w:t xml:space="preserve"> De la Industria Alimentaria.</w:t>
      </w:r>
    </w:p>
    <w:p w:rsidR="006F1CB0" w:rsidRPr="000B3598" w:rsidRDefault="006F1CB0" w:rsidP="006F1CB0">
      <w:pPr>
        <w:pStyle w:val="ROMANO"/>
        <w:widowControl/>
        <w:spacing w:after="0" w:line="240" w:lineRule="auto"/>
        <w:jc w:val="right"/>
        <w:rPr>
          <w:rFonts w:ascii="Montserrat" w:hAnsi="Montserrat"/>
          <w:b/>
          <w:i/>
          <w:color w:val="0070C0"/>
          <w:sz w:val="20"/>
          <w:szCs w:val="20"/>
        </w:rPr>
      </w:pPr>
    </w:p>
    <w:p w:rsidR="006F1CB0" w:rsidRDefault="006F1CB0" w:rsidP="006F1CB0">
      <w:pPr>
        <w:pStyle w:val="ROMANO"/>
        <w:widowControl/>
        <w:spacing w:after="0" w:line="240" w:lineRule="auto"/>
        <w:rPr>
          <w:sz w:val="24"/>
        </w:rPr>
      </w:pPr>
      <w:r w:rsidRPr="000B3598">
        <w:rPr>
          <w:rFonts w:ascii="Montserrat" w:hAnsi="Montserrat"/>
          <w:b/>
          <w:sz w:val="20"/>
          <w:szCs w:val="20"/>
        </w:rPr>
        <w:t>XXIV.</w:t>
      </w:r>
      <w:r w:rsidRPr="000B3598">
        <w:rPr>
          <w:rFonts w:ascii="Montserrat" w:hAnsi="Montserrat"/>
          <w:sz w:val="20"/>
          <w:szCs w:val="20"/>
        </w:rPr>
        <w:t xml:space="preserve"> De la Industria de Fertilizantes.</w:t>
      </w:r>
    </w:p>
    <w:p w:rsidR="006F1CB0" w:rsidRDefault="006F1CB0">
      <w:pPr>
        <w:rPr>
          <w:rFonts w:ascii="Montserrat" w:hAnsi="Montserrat"/>
          <w:sz w:val="20"/>
          <w:szCs w:val="20"/>
        </w:rPr>
      </w:pPr>
    </w:p>
    <w:p w:rsidR="000B3598" w:rsidRPr="00CA7B64" w:rsidRDefault="000B3598" w:rsidP="00CA7B64">
      <w:pPr>
        <w:pStyle w:val="Prrafodelista"/>
        <w:numPr>
          <w:ilvl w:val="0"/>
          <w:numId w:val="1"/>
        </w:numPr>
        <w:jc w:val="both"/>
        <w:rPr>
          <w:rFonts w:ascii="Montserrat" w:hAnsi="Montserrat"/>
          <w:sz w:val="20"/>
          <w:szCs w:val="20"/>
        </w:rPr>
      </w:pPr>
      <w:r w:rsidRPr="00CA7B64">
        <w:rPr>
          <w:rFonts w:ascii="Montserrat" w:hAnsi="Montserrat"/>
          <w:b/>
          <w:sz w:val="20"/>
          <w:szCs w:val="20"/>
        </w:rPr>
        <w:t>¿ Qué temas puedo consultar a través del correo</w:t>
      </w:r>
      <w:r w:rsidRPr="00CA7B64">
        <w:rPr>
          <w:rFonts w:ascii="Montserrat" w:hAnsi="Montserrat"/>
          <w:sz w:val="20"/>
          <w:szCs w:val="20"/>
        </w:rPr>
        <w:t xml:space="preserve"> </w:t>
      </w:r>
      <w:hyperlink r:id="rId7" w:history="1">
        <w:r w:rsidRPr="00CA7B64">
          <w:rPr>
            <w:rStyle w:val="Hipervnculo"/>
            <w:rFonts w:ascii="Montserrat" w:hAnsi="Montserrat"/>
            <w:b/>
            <w:sz w:val="20"/>
            <w:szCs w:val="20"/>
          </w:rPr>
          <w:t>atencion.prosec@economia.gob.mx</w:t>
        </w:r>
      </w:hyperlink>
      <w:r w:rsidRPr="00CA7B64">
        <w:rPr>
          <w:rFonts w:ascii="Montserrat" w:hAnsi="Montserrat"/>
          <w:sz w:val="20"/>
          <w:szCs w:val="20"/>
        </w:rPr>
        <w:t xml:space="preserve">? </w:t>
      </w:r>
    </w:p>
    <w:p w:rsidR="000B3598" w:rsidRDefault="000B3598" w:rsidP="000B3598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Cualquier tema relacionado con los tramites de autorización de un programa PROSEC, o los trámites de ampliación y alta de domicilio de una planta, así como cualquier consulta relacionada con la operación de un programa PROSEC. </w:t>
      </w:r>
    </w:p>
    <w:p w:rsidR="000B3598" w:rsidRDefault="000B3598" w:rsidP="000B3598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Cualquier consulta debe cumplir con lo señalado en la regla 1.3.5. del Acuerdo por el que la Secretaría de Economía emite Reglas y Criterios de Carácter General en materia de Comercio Exterior, publicado en el Diario Oficial de la Federación el pasado 9 de mayo de 2022.</w:t>
      </w:r>
    </w:p>
    <w:p w:rsidR="000B3598" w:rsidRDefault="000B3598" w:rsidP="000B3598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Nota*  las consultas  con relación al trámite, operación o normativa de la Regla 8va deberán ser enviadas a la cuenta </w:t>
      </w:r>
      <w:hyperlink r:id="rId8" w:history="1">
        <w:r w:rsidRPr="00D4111B">
          <w:rPr>
            <w:rStyle w:val="Hipervnculo"/>
            <w:rFonts w:ascii="Montserrat" w:hAnsi="Montserrat"/>
            <w:sz w:val="20"/>
            <w:szCs w:val="20"/>
          </w:rPr>
          <w:t>snice@economia.gob.mx</w:t>
        </w:r>
      </w:hyperlink>
      <w:r>
        <w:rPr>
          <w:rFonts w:ascii="Montserrat" w:hAnsi="Montserrat"/>
          <w:sz w:val="20"/>
          <w:szCs w:val="20"/>
        </w:rPr>
        <w:t xml:space="preserve"> </w:t>
      </w:r>
    </w:p>
    <w:p w:rsidR="000B3598" w:rsidRDefault="000B3598" w:rsidP="000B3598">
      <w:pPr>
        <w:jc w:val="both"/>
        <w:rPr>
          <w:rFonts w:ascii="Montserrat" w:hAnsi="Montserrat"/>
          <w:sz w:val="20"/>
          <w:szCs w:val="20"/>
        </w:rPr>
      </w:pPr>
    </w:p>
    <w:p w:rsidR="004B48CE" w:rsidRPr="00CA7B64" w:rsidRDefault="004B48CE" w:rsidP="00CA7B64">
      <w:pPr>
        <w:pStyle w:val="Prrafodelista"/>
        <w:numPr>
          <w:ilvl w:val="0"/>
          <w:numId w:val="1"/>
        </w:numPr>
        <w:jc w:val="both"/>
        <w:rPr>
          <w:rFonts w:ascii="Montserrat" w:hAnsi="Montserrat"/>
          <w:b/>
          <w:sz w:val="20"/>
          <w:szCs w:val="20"/>
        </w:rPr>
      </w:pPr>
      <w:r w:rsidRPr="00CA7B64">
        <w:rPr>
          <w:rFonts w:ascii="Montserrat" w:hAnsi="Montserrat"/>
          <w:b/>
          <w:sz w:val="20"/>
          <w:szCs w:val="20"/>
        </w:rPr>
        <w:t xml:space="preserve">¿Si ya cuento con un sector PROSEC autorizado y deseo fabricar un nuevo producto final con fracción arancelaria autorizada dentro del mismo sector (de conformidad con lo establecido en el Excel del artículo 4 del Decreto PROSEC), necesito hacer un trámite de ampliación? </w:t>
      </w:r>
    </w:p>
    <w:p w:rsidR="004B48CE" w:rsidRDefault="004B48CE" w:rsidP="000B3598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No, si la fracción arancelaria del nuevo producto se encuentra autorizada dentro del mismo sector como producto final no se requiere hacer un trámite de ampliación. </w:t>
      </w:r>
    </w:p>
    <w:p w:rsidR="004B48CE" w:rsidRPr="00CA7B64" w:rsidRDefault="004B48CE" w:rsidP="00CA7B64">
      <w:pPr>
        <w:pStyle w:val="Prrafodelista"/>
        <w:numPr>
          <w:ilvl w:val="0"/>
          <w:numId w:val="1"/>
        </w:numPr>
        <w:jc w:val="both"/>
        <w:rPr>
          <w:rFonts w:ascii="Montserrat" w:hAnsi="Montserrat"/>
          <w:b/>
          <w:sz w:val="20"/>
          <w:szCs w:val="20"/>
        </w:rPr>
      </w:pPr>
      <w:r w:rsidRPr="00CA7B64">
        <w:rPr>
          <w:rFonts w:ascii="Montserrat" w:hAnsi="Montserrat"/>
          <w:b/>
          <w:sz w:val="20"/>
          <w:szCs w:val="20"/>
        </w:rPr>
        <w:t xml:space="preserve">¿En qué casos se requiere hacer un trámite de ampliación? </w:t>
      </w:r>
    </w:p>
    <w:p w:rsidR="004B48CE" w:rsidRDefault="004B48CE" w:rsidP="000B3598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En aquellos casos en donde se requiere la importación de insumos para la fabricación de un producto final en donde las fracciones arancelarias de ambos (insumos y producto final) se encuentren autorizados en un sector diferente al previamente autorizado. </w:t>
      </w:r>
    </w:p>
    <w:p w:rsidR="004B48CE" w:rsidRDefault="004B48CE" w:rsidP="000B3598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Las empresas que cuentan con un programa PROSEC como productor directo, también podrán realizar un trámite de ampliación cuando deseen dar de alta a una empresa como productor indirecto. </w:t>
      </w:r>
    </w:p>
    <w:p w:rsidR="000B3598" w:rsidRPr="00CA7B64" w:rsidRDefault="004B48CE" w:rsidP="00CA7B64">
      <w:pPr>
        <w:pStyle w:val="Prrafodelista"/>
        <w:numPr>
          <w:ilvl w:val="0"/>
          <w:numId w:val="1"/>
        </w:numPr>
        <w:jc w:val="both"/>
        <w:rPr>
          <w:rFonts w:ascii="Montserrat" w:hAnsi="Montserrat"/>
          <w:b/>
          <w:sz w:val="20"/>
          <w:szCs w:val="20"/>
        </w:rPr>
      </w:pPr>
      <w:r w:rsidRPr="00CA7B64">
        <w:rPr>
          <w:rFonts w:ascii="Montserrat" w:hAnsi="Montserrat"/>
          <w:b/>
          <w:sz w:val="20"/>
          <w:szCs w:val="20"/>
        </w:rPr>
        <w:t>¿Puedo utilizar un programa PROSEC para importar con un arancel menor y vender en territorio nacional lo importado?</w:t>
      </w:r>
    </w:p>
    <w:p w:rsidR="004F395D" w:rsidRDefault="004B48CE" w:rsidP="004B48CE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No, l</w:t>
      </w:r>
      <w:r w:rsidRPr="004B48CE">
        <w:rPr>
          <w:rFonts w:ascii="Montserrat" w:hAnsi="Montserrat"/>
          <w:sz w:val="20"/>
          <w:szCs w:val="20"/>
        </w:rPr>
        <w:t xml:space="preserve">os </w:t>
      </w:r>
      <w:bookmarkStart w:id="0" w:name="_GoBack"/>
      <w:bookmarkEnd w:id="0"/>
      <w:r w:rsidRPr="004B48CE">
        <w:rPr>
          <w:rFonts w:ascii="Montserrat" w:hAnsi="Montserrat"/>
          <w:sz w:val="20"/>
          <w:szCs w:val="20"/>
        </w:rPr>
        <w:t xml:space="preserve">bienes importados al amparo </w:t>
      </w:r>
      <w:r>
        <w:rPr>
          <w:rFonts w:ascii="Montserrat" w:hAnsi="Montserrat"/>
          <w:sz w:val="20"/>
          <w:szCs w:val="20"/>
        </w:rPr>
        <w:t>del programa,</w:t>
      </w:r>
      <w:r w:rsidRPr="004B48CE">
        <w:rPr>
          <w:rFonts w:ascii="Montserrat" w:hAnsi="Montserrat"/>
          <w:sz w:val="20"/>
          <w:szCs w:val="20"/>
        </w:rPr>
        <w:t xml:space="preserve"> no podrán ser de</w:t>
      </w:r>
      <w:r>
        <w:rPr>
          <w:rFonts w:ascii="Montserrat" w:hAnsi="Montserrat"/>
          <w:sz w:val="20"/>
          <w:szCs w:val="20"/>
        </w:rPr>
        <w:t>stinados a propósitos distintos, t</w:t>
      </w:r>
      <w:r w:rsidRPr="004B48CE">
        <w:rPr>
          <w:rFonts w:ascii="Montserrat" w:hAnsi="Montserrat"/>
          <w:sz w:val="20"/>
          <w:szCs w:val="20"/>
        </w:rPr>
        <w:t xml:space="preserve">ampoco podrán ser enajenados ni </w:t>
      </w:r>
      <w:r w:rsidR="004F395D">
        <w:rPr>
          <w:rFonts w:ascii="Montserrat" w:hAnsi="Montserrat"/>
          <w:sz w:val="20"/>
          <w:szCs w:val="20"/>
        </w:rPr>
        <w:t xml:space="preserve">cedidos a ninguna otra persona en el mismo estado en el que se importan, de conformidad con lo establecido en el artículo 10 del Decreto PROSEC. </w:t>
      </w:r>
    </w:p>
    <w:p w:rsidR="004F395D" w:rsidRDefault="004F395D" w:rsidP="004B48CE">
      <w:pPr>
        <w:jc w:val="both"/>
        <w:rPr>
          <w:rFonts w:ascii="Montserrat" w:hAnsi="Montserrat"/>
          <w:sz w:val="20"/>
          <w:szCs w:val="20"/>
        </w:rPr>
      </w:pPr>
    </w:p>
    <w:p w:rsidR="000B3598" w:rsidRDefault="000B3598">
      <w:pPr>
        <w:rPr>
          <w:rFonts w:ascii="Montserrat" w:hAnsi="Montserrat"/>
          <w:sz w:val="20"/>
          <w:szCs w:val="20"/>
        </w:rPr>
      </w:pPr>
    </w:p>
    <w:p w:rsidR="000B3598" w:rsidRPr="006F1CB0" w:rsidRDefault="000B3598">
      <w:pPr>
        <w:rPr>
          <w:rFonts w:ascii="Montserrat" w:hAnsi="Montserrat"/>
          <w:sz w:val="20"/>
          <w:szCs w:val="20"/>
        </w:rPr>
      </w:pPr>
    </w:p>
    <w:sectPr w:rsidR="000B3598" w:rsidRPr="006F1CB0" w:rsidSect="000B3598">
      <w:headerReference w:type="default" r:id="rId9"/>
      <w:pgSz w:w="12240" w:h="15840"/>
      <w:pgMar w:top="709" w:right="1325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4FB" w:rsidRDefault="004444FB" w:rsidP="00CA7B64">
      <w:pPr>
        <w:spacing w:after="0" w:line="240" w:lineRule="auto"/>
      </w:pPr>
      <w:r>
        <w:separator/>
      </w:r>
    </w:p>
  </w:endnote>
  <w:endnote w:type="continuationSeparator" w:id="0">
    <w:p w:rsidR="004444FB" w:rsidRDefault="004444FB" w:rsidP="00CA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4FB" w:rsidRDefault="004444FB" w:rsidP="00CA7B64">
      <w:pPr>
        <w:spacing w:after="0" w:line="240" w:lineRule="auto"/>
      </w:pPr>
      <w:r>
        <w:separator/>
      </w:r>
    </w:p>
  </w:footnote>
  <w:footnote w:type="continuationSeparator" w:id="0">
    <w:p w:rsidR="004444FB" w:rsidRDefault="004444FB" w:rsidP="00CA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B64" w:rsidRDefault="00CA7B6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43236F2" wp14:editId="2572B337">
          <wp:simplePos x="0" y="0"/>
          <wp:positionH relativeFrom="margin">
            <wp:posOffset>3707130</wp:posOffset>
          </wp:positionH>
          <wp:positionV relativeFrom="topMargin">
            <wp:posOffset>128270</wp:posOffset>
          </wp:positionV>
          <wp:extent cx="674726" cy="75247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inc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726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2A02591" wp14:editId="54CDD748">
          <wp:simplePos x="0" y="0"/>
          <wp:positionH relativeFrom="margin">
            <wp:posOffset>4263390</wp:posOffset>
          </wp:positionH>
          <wp:positionV relativeFrom="topMargin">
            <wp:posOffset>47625</wp:posOffset>
          </wp:positionV>
          <wp:extent cx="1759585" cy="819150"/>
          <wp:effectExtent l="0" t="0" r="0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nic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58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1E5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B095954" wp14:editId="50B4A728">
          <wp:simplePos x="0" y="0"/>
          <wp:positionH relativeFrom="margin">
            <wp:posOffset>-542925</wp:posOffset>
          </wp:positionH>
          <wp:positionV relativeFrom="paragraph">
            <wp:posOffset>-191135</wp:posOffset>
          </wp:positionV>
          <wp:extent cx="2560638" cy="510540"/>
          <wp:effectExtent l="0" t="0" r="0" b="3810"/>
          <wp:wrapNone/>
          <wp:docPr id="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6794" r="59277" b="88148"/>
                  <a:stretch/>
                </pic:blipFill>
                <pic:spPr bwMode="auto">
                  <a:xfrm>
                    <a:off x="0" y="0"/>
                    <a:ext cx="2560638" cy="5105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:rsidR="00CA7B64" w:rsidRDefault="00CA7B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86B"/>
    <w:multiLevelType w:val="hybridMultilevel"/>
    <w:tmpl w:val="2EBC58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B0"/>
    <w:rsid w:val="000B3598"/>
    <w:rsid w:val="001E5E81"/>
    <w:rsid w:val="004444FB"/>
    <w:rsid w:val="004B48CE"/>
    <w:rsid w:val="004F395D"/>
    <w:rsid w:val="006F1CB0"/>
    <w:rsid w:val="00CA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B88F"/>
  <w15:chartTrackingRefBased/>
  <w15:docId w15:val="{C36A76F1-2D75-40F8-9DA2-CBB7B8BA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">
    <w:name w:val="ROMANO"/>
    <w:basedOn w:val="Normal"/>
    <w:rsid w:val="006F1CB0"/>
    <w:pPr>
      <w:widowControl w:val="0"/>
      <w:spacing w:after="101" w:line="216" w:lineRule="exact"/>
      <w:ind w:left="900" w:hanging="612"/>
      <w:jc w:val="both"/>
    </w:pPr>
    <w:rPr>
      <w:rFonts w:ascii="Arial" w:eastAsia="Times New Roman" w:hAnsi="Arial" w:cs="Arial"/>
      <w:sz w:val="18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B359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A7B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B64"/>
  </w:style>
  <w:style w:type="paragraph" w:styleId="Piedepgina">
    <w:name w:val="footer"/>
    <w:basedOn w:val="Normal"/>
    <w:link w:val="PiedepginaCar"/>
    <w:uiPriority w:val="99"/>
    <w:unhideWhenUsed/>
    <w:rsid w:val="00CA7B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B64"/>
  </w:style>
  <w:style w:type="paragraph" w:styleId="Prrafodelista">
    <w:name w:val="List Paragraph"/>
    <w:basedOn w:val="Normal"/>
    <w:uiPriority w:val="34"/>
    <w:qFormat/>
    <w:rsid w:val="00CA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ice@economia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encion.prosec@economia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Yolevna Sánchez Erreguín</dc:creator>
  <cp:keywords/>
  <dc:description/>
  <cp:lastModifiedBy>DGFCCE SNICE</cp:lastModifiedBy>
  <cp:revision>2</cp:revision>
  <dcterms:created xsi:type="dcterms:W3CDTF">2022-05-13T16:00:00Z</dcterms:created>
  <dcterms:modified xsi:type="dcterms:W3CDTF">2022-05-13T16:00:00Z</dcterms:modified>
</cp:coreProperties>
</file>