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1" w:type="pct"/>
        <w:tblCellSpacing w:w="0" w:type="dxa"/>
        <w:tblInd w:w="-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D95760" w:rsidRPr="00787E2D" w:rsidTr="008E38A6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  <w:hideMark/>
          </w:tcPr>
          <w:p w:rsidR="00D95760" w:rsidRPr="00787E2D" w:rsidRDefault="00D95760" w:rsidP="008E38A6">
            <w:pPr>
              <w:spacing w:after="0" w:line="240" w:lineRule="auto"/>
              <w:rPr>
                <w:rFonts w:ascii="Montserrat" w:eastAsia="Times New Roman" w:hAnsi="Montserrat" w:cs="Arial"/>
                <w:color w:val="2F2F2F"/>
                <w:sz w:val="20"/>
                <w:szCs w:val="20"/>
                <w:lang w:eastAsia="es-MX"/>
              </w:rPr>
            </w:pPr>
            <w:r w:rsidRPr="001C7B3C">
              <w:rPr>
                <w:rFonts w:ascii="Montserrat" w:eastAsia="Times New Roman" w:hAnsi="Montserrat" w:cs="Arial"/>
                <w:b/>
                <w:bCs/>
                <w:color w:val="2F2F2F"/>
                <w:sz w:val="20"/>
                <w:szCs w:val="20"/>
                <w:lang w:eastAsia="es-MX"/>
              </w:rPr>
              <w:t>DOF: 01/06/2020</w:t>
            </w:r>
          </w:p>
        </w:tc>
      </w:tr>
      <w:tr w:rsidR="00D95760" w:rsidRPr="00787E2D" w:rsidTr="008E38A6">
        <w:trPr>
          <w:trHeight w:val="784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5760" w:rsidRPr="00787E2D" w:rsidRDefault="00D95760" w:rsidP="008E38A6">
            <w:pPr>
              <w:pBdr>
                <w:bottom w:val="single" w:sz="12" w:space="0" w:color="000000"/>
              </w:pBdr>
              <w:spacing w:before="120" w:after="0" w:line="240" w:lineRule="auto"/>
              <w:jc w:val="both"/>
              <w:outlineLvl w:val="0"/>
              <w:rPr>
                <w:rFonts w:ascii="Montserrat" w:eastAsia="Times New Roman" w:hAnsi="Montserrat" w:cs="Times"/>
                <w:b/>
                <w:bCs/>
                <w:color w:val="2F2F2F"/>
                <w:kern w:val="36"/>
                <w:sz w:val="20"/>
                <w:szCs w:val="20"/>
                <w:lang w:eastAsia="es-MX"/>
              </w:rPr>
            </w:pPr>
            <w:r w:rsidRPr="001C7B3C">
              <w:rPr>
                <w:rFonts w:ascii="Montserrat" w:eastAsia="Times New Roman" w:hAnsi="Montserrat" w:cs="Times"/>
                <w:b/>
                <w:bCs/>
                <w:color w:val="2F2F2F"/>
                <w:kern w:val="36"/>
                <w:sz w:val="20"/>
                <w:szCs w:val="20"/>
                <w:lang w:eastAsia="es-MX"/>
              </w:rPr>
              <w:t xml:space="preserve">DECRETO por el que se expide la Ley de los Impuestos Generales de Importación y de Exportación, y se reforman y adicionan disposiciones de la Ley Aduanera. </w:t>
            </w:r>
          </w:p>
        </w:tc>
      </w:tr>
    </w:tbl>
    <w:p w:rsidR="00D95760" w:rsidRPr="00D95760" w:rsidRDefault="00D95760" w:rsidP="00D95760">
      <w:pPr>
        <w:rPr>
          <w:rFonts w:ascii="Montserrat" w:hAnsi="Montserrat"/>
          <w:b/>
          <w:sz w:val="20"/>
          <w:szCs w:val="20"/>
        </w:rPr>
      </w:pPr>
      <w:r w:rsidRPr="00D95760">
        <w:rPr>
          <w:rFonts w:ascii="Montserrat" w:hAnsi="Montserrat"/>
          <w:b/>
          <w:sz w:val="20"/>
          <w:szCs w:val="20"/>
        </w:rPr>
        <w:t>Artículo 2o.- Las Reglas Generales y las Complementarias para la aplicación e interpretación de esta Ley, son las siguientes:</w:t>
      </w:r>
    </w:p>
    <w:p w:rsidR="00D95760" w:rsidRPr="00D95760" w:rsidRDefault="00D95760" w:rsidP="00D95760">
      <w:pPr>
        <w:rPr>
          <w:rFonts w:ascii="Montserrat" w:hAnsi="Montserrat"/>
          <w:b/>
          <w:sz w:val="20"/>
          <w:szCs w:val="20"/>
        </w:rPr>
      </w:pPr>
      <w:r w:rsidRPr="00D95760">
        <w:rPr>
          <w:rFonts w:ascii="Montserrat" w:hAnsi="Montserrat"/>
          <w:b/>
          <w:sz w:val="20"/>
          <w:szCs w:val="20"/>
        </w:rPr>
        <w:t>I. Reglas Generales.</w:t>
      </w:r>
    </w:p>
    <w:p w:rsidR="00D95760" w:rsidRPr="00D95760" w:rsidRDefault="00D95760" w:rsidP="00D95760">
      <w:pPr>
        <w:jc w:val="both"/>
        <w:rPr>
          <w:rFonts w:ascii="Montserrat" w:hAnsi="Montserrat"/>
          <w:sz w:val="20"/>
          <w:szCs w:val="20"/>
        </w:rPr>
      </w:pPr>
      <w:r w:rsidRPr="00D95760">
        <w:rPr>
          <w:rFonts w:ascii="Montserrat" w:hAnsi="Montserrat"/>
          <w:sz w:val="20"/>
          <w:szCs w:val="20"/>
        </w:rPr>
        <w:t>La clasificación de mercancías en la Tarifa de la Ley de los Impuesto</w:t>
      </w:r>
      <w:r>
        <w:rPr>
          <w:rFonts w:ascii="Montserrat" w:hAnsi="Montserrat"/>
          <w:sz w:val="20"/>
          <w:szCs w:val="20"/>
        </w:rPr>
        <w:t xml:space="preserve">s Generales de Importación y de </w:t>
      </w:r>
      <w:r w:rsidRPr="00D95760">
        <w:rPr>
          <w:rFonts w:ascii="Montserrat" w:hAnsi="Montserrat"/>
          <w:sz w:val="20"/>
          <w:szCs w:val="20"/>
        </w:rPr>
        <w:t>Exportación se regirá por las reglas siguientes:</w:t>
      </w:r>
    </w:p>
    <w:p w:rsidR="00D95760" w:rsidRPr="00D95760" w:rsidRDefault="00D95760" w:rsidP="00D95760">
      <w:pPr>
        <w:ind w:left="708"/>
        <w:jc w:val="both"/>
        <w:rPr>
          <w:rFonts w:ascii="Montserrat" w:hAnsi="Montserrat"/>
          <w:sz w:val="20"/>
          <w:szCs w:val="20"/>
        </w:rPr>
      </w:pPr>
      <w:r w:rsidRPr="00D95760">
        <w:rPr>
          <w:rFonts w:ascii="Montserrat" w:hAnsi="Montserrat"/>
          <w:b/>
          <w:sz w:val="20"/>
          <w:szCs w:val="20"/>
        </w:rPr>
        <w:t>1</w:t>
      </w:r>
      <w:r w:rsidRPr="00D95760">
        <w:rPr>
          <w:rFonts w:ascii="Montserrat" w:hAnsi="Montserrat"/>
          <w:sz w:val="20"/>
          <w:szCs w:val="20"/>
        </w:rPr>
        <w:t xml:space="preserve">. Los títulos de las Secciones, de los Capítulos o de los Subcapítulos sólo tienen </w:t>
      </w:r>
      <w:r>
        <w:rPr>
          <w:rFonts w:ascii="Montserrat" w:hAnsi="Montserrat"/>
          <w:sz w:val="20"/>
          <w:szCs w:val="20"/>
        </w:rPr>
        <w:t xml:space="preserve">un valor </w:t>
      </w:r>
      <w:r w:rsidRPr="00D95760">
        <w:rPr>
          <w:rFonts w:ascii="Montserrat" w:hAnsi="Montserrat"/>
          <w:sz w:val="20"/>
          <w:szCs w:val="20"/>
        </w:rPr>
        <w:t>indicativo, ya que la clasificación está determinada legalmente p</w:t>
      </w:r>
      <w:r>
        <w:rPr>
          <w:rFonts w:ascii="Montserrat" w:hAnsi="Montserrat"/>
          <w:sz w:val="20"/>
          <w:szCs w:val="20"/>
        </w:rPr>
        <w:t xml:space="preserve">or los textos de las partidas y </w:t>
      </w:r>
      <w:r w:rsidRPr="00D95760">
        <w:rPr>
          <w:rFonts w:ascii="Montserrat" w:hAnsi="Montserrat"/>
          <w:sz w:val="20"/>
          <w:szCs w:val="20"/>
        </w:rPr>
        <w:t xml:space="preserve">de las Notas de Sección o de Capítulo y, si no son contrarias a </w:t>
      </w:r>
      <w:r>
        <w:rPr>
          <w:rFonts w:ascii="Montserrat" w:hAnsi="Montserrat"/>
          <w:sz w:val="20"/>
          <w:szCs w:val="20"/>
        </w:rPr>
        <w:t xml:space="preserve">los textos de dichas partidas y </w:t>
      </w:r>
      <w:r w:rsidRPr="00D95760">
        <w:rPr>
          <w:rFonts w:ascii="Montserrat" w:hAnsi="Montserrat"/>
          <w:sz w:val="20"/>
          <w:szCs w:val="20"/>
        </w:rPr>
        <w:t>Notas, de acuerdo con las Reglas siguientes:</w:t>
      </w:r>
    </w:p>
    <w:p w:rsidR="00EE5BD6" w:rsidRDefault="00D95760" w:rsidP="00D95760">
      <w:pPr>
        <w:ind w:left="708"/>
        <w:jc w:val="both"/>
        <w:rPr>
          <w:rFonts w:ascii="Montserrat" w:hAnsi="Montserrat"/>
          <w:b/>
          <w:sz w:val="20"/>
          <w:szCs w:val="20"/>
        </w:rPr>
      </w:pPr>
      <w:r w:rsidRPr="00D95760">
        <w:rPr>
          <w:rFonts w:ascii="Montserrat" w:hAnsi="Montserrat"/>
          <w:b/>
          <w:sz w:val="20"/>
          <w:szCs w:val="20"/>
        </w:rPr>
        <w:t xml:space="preserve">2. </w:t>
      </w:r>
    </w:p>
    <w:p w:rsidR="00D95760" w:rsidRPr="00EE5BD6" w:rsidRDefault="00D95760" w:rsidP="00EE5BD6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Cualquier referencia a un artículo en una partida determinada alcanza al artículo incluso incompleto o sin terminar, siempre que éste presente las características esenciales del artículo completo o terminado. Alcanza también al artículo completo o terminado, o considerado como tal en virtud de las disposiciones precedentes, cuando se presente desmontado o sin montar todavía.</w:t>
      </w:r>
    </w:p>
    <w:p w:rsidR="00D95760" w:rsidRPr="00EE5BD6" w:rsidRDefault="00D95760" w:rsidP="00EE5BD6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Cualquier referencia a una materia en una partida determinada alcanza a dicha materia, incluso mezclada o asociada con otras materias. Asimismo, cualquier referencia a las manufacturas de una materia determinada alcanza también a las constituidas total o parcialmente por dicha materia. La clasificación de estos productos mezclados o de estos artículos compuestos se efectuará de acuerdo con los principios enunciados en la Regla 3.</w:t>
      </w:r>
    </w:p>
    <w:p w:rsidR="00D95760" w:rsidRPr="00D95760" w:rsidRDefault="00D95760" w:rsidP="00D95760">
      <w:p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b/>
          <w:sz w:val="20"/>
          <w:szCs w:val="20"/>
        </w:rPr>
        <w:t>3.</w:t>
      </w:r>
      <w:r w:rsidRPr="00D95760">
        <w:rPr>
          <w:rFonts w:ascii="Montserrat" w:hAnsi="Montserrat"/>
          <w:sz w:val="20"/>
          <w:szCs w:val="20"/>
        </w:rPr>
        <w:t xml:space="preserve"> Cuando una mercancía pudiera clasificarse, en principio, en do</w:t>
      </w:r>
      <w:r>
        <w:rPr>
          <w:rFonts w:ascii="Montserrat" w:hAnsi="Montserrat"/>
          <w:sz w:val="20"/>
          <w:szCs w:val="20"/>
        </w:rPr>
        <w:t xml:space="preserve">s o más partidas por aplicación </w:t>
      </w:r>
      <w:r w:rsidRPr="00D95760">
        <w:rPr>
          <w:rFonts w:ascii="Montserrat" w:hAnsi="Montserrat"/>
          <w:sz w:val="20"/>
          <w:szCs w:val="20"/>
        </w:rPr>
        <w:t>de la Regla 2 b) o en cualquier otro caso, la clasificación se efectuará como sigue:</w:t>
      </w:r>
    </w:p>
    <w:p w:rsidR="00D95760" w:rsidRPr="00EE5BD6" w:rsidRDefault="00D95760" w:rsidP="00EE5BD6">
      <w:pPr>
        <w:pStyle w:val="Prrafodelista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La partida con descripción más específica tendrá priorida</w:t>
      </w:r>
      <w:r w:rsidR="00EE5BD6" w:rsidRPr="00EE5BD6">
        <w:rPr>
          <w:rFonts w:ascii="Montserrat" w:hAnsi="Montserrat"/>
          <w:sz w:val="20"/>
          <w:szCs w:val="20"/>
        </w:rPr>
        <w:t xml:space="preserve">d sobre las partidas de alcance </w:t>
      </w:r>
      <w:r w:rsidRPr="00EE5BD6">
        <w:rPr>
          <w:rFonts w:ascii="Montserrat" w:hAnsi="Montserrat"/>
          <w:sz w:val="20"/>
          <w:szCs w:val="20"/>
        </w:rPr>
        <w:t>más genérico. Sin embargo, cuando dos o más partidas s</w:t>
      </w:r>
      <w:r w:rsidR="00EE5BD6" w:rsidRPr="00EE5BD6">
        <w:rPr>
          <w:rFonts w:ascii="Montserrat" w:hAnsi="Montserrat"/>
          <w:sz w:val="20"/>
          <w:szCs w:val="20"/>
        </w:rPr>
        <w:t xml:space="preserve">e refieran, cada una, solamente </w:t>
      </w:r>
      <w:r w:rsidRPr="00EE5BD6">
        <w:rPr>
          <w:rFonts w:ascii="Montserrat" w:hAnsi="Montserrat"/>
          <w:sz w:val="20"/>
          <w:szCs w:val="20"/>
        </w:rPr>
        <w:t xml:space="preserve">a una parte de las materias que constituyen un </w:t>
      </w:r>
      <w:r w:rsidR="00EE5BD6" w:rsidRPr="00EE5BD6">
        <w:rPr>
          <w:rFonts w:ascii="Montserrat" w:hAnsi="Montserrat"/>
          <w:sz w:val="20"/>
          <w:szCs w:val="20"/>
        </w:rPr>
        <w:t xml:space="preserve">producto mezclado o un artículo </w:t>
      </w:r>
      <w:r w:rsidRPr="00EE5BD6">
        <w:rPr>
          <w:rFonts w:ascii="Montserrat" w:hAnsi="Montserrat"/>
          <w:sz w:val="20"/>
          <w:szCs w:val="20"/>
        </w:rPr>
        <w:t>compuesto o solamente a una parte de los artí</w:t>
      </w:r>
      <w:r w:rsidR="00EE5BD6" w:rsidRPr="00EE5BD6">
        <w:rPr>
          <w:rFonts w:ascii="Montserrat" w:hAnsi="Montserrat"/>
          <w:sz w:val="20"/>
          <w:szCs w:val="20"/>
        </w:rPr>
        <w:t xml:space="preserve">culos, en el caso de mercancías </w:t>
      </w:r>
      <w:r w:rsidRPr="00EE5BD6">
        <w:rPr>
          <w:rFonts w:ascii="Montserrat" w:hAnsi="Montserrat"/>
          <w:sz w:val="20"/>
          <w:szCs w:val="20"/>
        </w:rPr>
        <w:t>presentadas en juegos o surtidos acondicionados pa</w:t>
      </w:r>
      <w:r w:rsidR="00EE5BD6" w:rsidRPr="00EE5BD6">
        <w:rPr>
          <w:rFonts w:ascii="Montserrat" w:hAnsi="Montserrat"/>
          <w:sz w:val="20"/>
          <w:szCs w:val="20"/>
        </w:rPr>
        <w:t xml:space="preserve">ra la venta al por menor, tales </w:t>
      </w:r>
      <w:r w:rsidRPr="00EE5BD6">
        <w:rPr>
          <w:rFonts w:ascii="Montserrat" w:hAnsi="Montserrat"/>
          <w:sz w:val="20"/>
          <w:szCs w:val="20"/>
        </w:rPr>
        <w:t>partidas deben considerarse igualmente específicas para dic</w:t>
      </w:r>
      <w:r w:rsidR="00EE5BD6" w:rsidRPr="00EE5BD6">
        <w:rPr>
          <w:rFonts w:ascii="Montserrat" w:hAnsi="Montserrat"/>
          <w:sz w:val="20"/>
          <w:szCs w:val="20"/>
        </w:rPr>
        <w:t xml:space="preserve">ho producto o artículo, incluso </w:t>
      </w:r>
      <w:r w:rsidRPr="00EE5BD6">
        <w:rPr>
          <w:rFonts w:ascii="Montserrat" w:hAnsi="Montserrat"/>
          <w:sz w:val="20"/>
          <w:szCs w:val="20"/>
        </w:rPr>
        <w:t>si una de ellas lo describe de manera más precisa o completa;</w:t>
      </w:r>
    </w:p>
    <w:p w:rsidR="00D95760" w:rsidRPr="00EE5BD6" w:rsidRDefault="00D95760" w:rsidP="00EE5BD6">
      <w:pPr>
        <w:pStyle w:val="Prrafodelista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Los productos mezclados, las manufacturas comp</w:t>
      </w:r>
      <w:r w:rsidR="00EE5BD6" w:rsidRPr="00EE5BD6">
        <w:rPr>
          <w:rFonts w:ascii="Montserrat" w:hAnsi="Montserrat"/>
          <w:sz w:val="20"/>
          <w:szCs w:val="20"/>
        </w:rPr>
        <w:t xml:space="preserve">uestas de materias diferentes o </w:t>
      </w:r>
      <w:r w:rsidRPr="00EE5BD6">
        <w:rPr>
          <w:rFonts w:ascii="Montserrat" w:hAnsi="Montserrat"/>
          <w:sz w:val="20"/>
          <w:szCs w:val="20"/>
        </w:rPr>
        <w:t>constituidas por la unión de artículos diferentes y las m</w:t>
      </w:r>
      <w:r w:rsidR="00EE5BD6" w:rsidRPr="00EE5BD6">
        <w:rPr>
          <w:rFonts w:ascii="Montserrat" w:hAnsi="Montserrat"/>
          <w:sz w:val="20"/>
          <w:szCs w:val="20"/>
        </w:rPr>
        <w:t xml:space="preserve">ercancías presentadas en juegos o </w:t>
      </w:r>
      <w:r w:rsidRPr="00EE5BD6">
        <w:rPr>
          <w:rFonts w:ascii="Montserrat" w:hAnsi="Montserrat"/>
          <w:sz w:val="20"/>
          <w:szCs w:val="20"/>
        </w:rPr>
        <w:t>surtidos acondicionados para la venta al por men</w:t>
      </w:r>
      <w:r w:rsidR="00EE5BD6" w:rsidRPr="00EE5BD6">
        <w:rPr>
          <w:rFonts w:ascii="Montserrat" w:hAnsi="Montserrat"/>
          <w:sz w:val="20"/>
          <w:szCs w:val="20"/>
        </w:rPr>
        <w:t xml:space="preserve">or, cuya clasificación no </w:t>
      </w:r>
      <w:bookmarkStart w:id="0" w:name="_GoBack"/>
      <w:bookmarkEnd w:id="0"/>
      <w:r w:rsidR="00EE5BD6" w:rsidRPr="00EE5BD6">
        <w:rPr>
          <w:rFonts w:ascii="Montserrat" w:hAnsi="Montserrat"/>
          <w:sz w:val="20"/>
          <w:szCs w:val="20"/>
        </w:rPr>
        <w:lastRenderedPageBreak/>
        <w:t xml:space="preserve">pueda </w:t>
      </w:r>
      <w:r w:rsidRPr="00EE5BD6">
        <w:rPr>
          <w:rFonts w:ascii="Montserrat" w:hAnsi="Montserrat"/>
          <w:sz w:val="20"/>
          <w:szCs w:val="20"/>
        </w:rPr>
        <w:t>efectuarse aplicando la Regla 3 a), se clasificarán según la materia o con el artícul</w:t>
      </w:r>
      <w:r w:rsidR="00EE5BD6" w:rsidRPr="00EE5BD6">
        <w:rPr>
          <w:rFonts w:ascii="Montserrat" w:hAnsi="Montserrat"/>
          <w:sz w:val="20"/>
          <w:szCs w:val="20"/>
        </w:rPr>
        <w:t xml:space="preserve">o que </w:t>
      </w:r>
      <w:r w:rsidRPr="00EE5BD6">
        <w:rPr>
          <w:rFonts w:ascii="Montserrat" w:hAnsi="Montserrat"/>
          <w:sz w:val="20"/>
          <w:szCs w:val="20"/>
        </w:rPr>
        <w:t>les confiera su carácter esencial, si fuera posible determinarlo;</w:t>
      </w:r>
    </w:p>
    <w:p w:rsidR="00D95760" w:rsidRPr="00EE5BD6" w:rsidRDefault="00D95760" w:rsidP="00EE5BD6">
      <w:pPr>
        <w:pStyle w:val="Prrafodelista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Cuando las Reglas 3 a) y 3 b) no permitan efectuar la</w:t>
      </w:r>
      <w:r w:rsidR="00EE5BD6" w:rsidRPr="00EE5BD6">
        <w:rPr>
          <w:rFonts w:ascii="Montserrat" w:hAnsi="Montserrat"/>
          <w:sz w:val="20"/>
          <w:szCs w:val="20"/>
        </w:rPr>
        <w:t xml:space="preserve"> clasificación, la mercancía se </w:t>
      </w:r>
      <w:r w:rsidRPr="00EE5BD6">
        <w:rPr>
          <w:rFonts w:ascii="Montserrat" w:hAnsi="Montserrat"/>
          <w:sz w:val="20"/>
          <w:szCs w:val="20"/>
        </w:rPr>
        <w:t>clasificará en la última partida por orden de numeración en</w:t>
      </w:r>
      <w:r w:rsidR="00EE5BD6" w:rsidRPr="00EE5BD6">
        <w:rPr>
          <w:rFonts w:ascii="Montserrat" w:hAnsi="Montserrat"/>
          <w:sz w:val="20"/>
          <w:szCs w:val="20"/>
        </w:rPr>
        <w:t xml:space="preserve">tre las susceptibles de tenerse </w:t>
      </w:r>
      <w:r w:rsidRPr="00EE5BD6">
        <w:rPr>
          <w:rFonts w:ascii="Montserrat" w:hAnsi="Montserrat"/>
          <w:sz w:val="20"/>
          <w:szCs w:val="20"/>
        </w:rPr>
        <w:t>razonablemente en cuenta.</w:t>
      </w:r>
    </w:p>
    <w:p w:rsidR="00D95760" w:rsidRPr="00D95760" w:rsidRDefault="00D95760" w:rsidP="00D95760">
      <w:p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b/>
          <w:sz w:val="20"/>
          <w:szCs w:val="20"/>
        </w:rPr>
        <w:t>4</w:t>
      </w:r>
      <w:r w:rsidRPr="00D95760">
        <w:rPr>
          <w:rFonts w:ascii="Montserrat" w:hAnsi="Montserrat"/>
          <w:sz w:val="20"/>
          <w:szCs w:val="20"/>
        </w:rPr>
        <w:t>. Las mercancías que no puedan clasificarse aplicando las Reglas</w:t>
      </w:r>
      <w:r w:rsidR="00EE5BD6">
        <w:rPr>
          <w:rFonts w:ascii="Montserrat" w:hAnsi="Montserrat"/>
          <w:sz w:val="20"/>
          <w:szCs w:val="20"/>
        </w:rPr>
        <w:t xml:space="preserve"> anteriores, se clasificarán en </w:t>
      </w:r>
      <w:r w:rsidRPr="00D95760">
        <w:rPr>
          <w:rFonts w:ascii="Montserrat" w:hAnsi="Montserrat"/>
          <w:sz w:val="20"/>
          <w:szCs w:val="20"/>
        </w:rPr>
        <w:t>la partida que comprenda aquellas con las que tengan mayor analogía.</w:t>
      </w:r>
    </w:p>
    <w:p w:rsidR="00D95760" w:rsidRPr="00D95760" w:rsidRDefault="00D95760" w:rsidP="00D95760">
      <w:p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b/>
          <w:sz w:val="20"/>
          <w:szCs w:val="20"/>
        </w:rPr>
        <w:t>5.</w:t>
      </w:r>
      <w:r w:rsidRPr="00D95760">
        <w:rPr>
          <w:rFonts w:ascii="Montserrat" w:hAnsi="Montserrat"/>
          <w:sz w:val="20"/>
          <w:szCs w:val="20"/>
        </w:rPr>
        <w:t xml:space="preserve"> Además de las disposiciones precedentes, a las mercancías consider</w:t>
      </w:r>
      <w:r w:rsidR="00EE5BD6">
        <w:rPr>
          <w:rFonts w:ascii="Montserrat" w:hAnsi="Montserrat"/>
          <w:sz w:val="20"/>
          <w:szCs w:val="20"/>
        </w:rPr>
        <w:t xml:space="preserve">adas a continuación se les </w:t>
      </w:r>
      <w:r w:rsidRPr="00D95760">
        <w:rPr>
          <w:rFonts w:ascii="Montserrat" w:hAnsi="Montserrat"/>
          <w:sz w:val="20"/>
          <w:szCs w:val="20"/>
        </w:rPr>
        <w:t>aplicarán las Reglas siguientes:</w:t>
      </w:r>
    </w:p>
    <w:p w:rsidR="00D95760" w:rsidRPr="00EE5BD6" w:rsidRDefault="00D95760" w:rsidP="00EE5BD6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Los estuches para cámaras fotográficas, instrumentos mu</w:t>
      </w:r>
      <w:r w:rsidR="00EE5BD6" w:rsidRPr="00EE5BD6">
        <w:rPr>
          <w:rFonts w:ascii="Montserrat" w:hAnsi="Montserrat"/>
          <w:sz w:val="20"/>
          <w:szCs w:val="20"/>
        </w:rPr>
        <w:t xml:space="preserve">sicales, armas, instrumentos de </w:t>
      </w:r>
      <w:r w:rsidRPr="00EE5BD6">
        <w:rPr>
          <w:rFonts w:ascii="Montserrat" w:hAnsi="Montserrat"/>
          <w:sz w:val="20"/>
          <w:szCs w:val="20"/>
        </w:rPr>
        <w:t>dibujo, collares y continentes similares, especialme</w:t>
      </w:r>
      <w:r w:rsidR="00EE5BD6" w:rsidRPr="00EE5BD6">
        <w:rPr>
          <w:rFonts w:ascii="Montserrat" w:hAnsi="Montserrat"/>
          <w:sz w:val="20"/>
          <w:szCs w:val="20"/>
        </w:rPr>
        <w:t xml:space="preserve">nte apropiados para contener un </w:t>
      </w:r>
      <w:r w:rsidRPr="00EE5BD6">
        <w:rPr>
          <w:rFonts w:ascii="Montserrat" w:hAnsi="Montserrat"/>
          <w:sz w:val="20"/>
          <w:szCs w:val="20"/>
        </w:rPr>
        <w:t xml:space="preserve">artículo determinado o un juego o surtido, susceptibles </w:t>
      </w:r>
      <w:r w:rsidR="00EE5BD6" w:rsidRPr="00EE5BD6">
        <w:rPr>
          <w:rFonts w:ascii="Montserrat" w:hAnsi="Montserrat"/>
          <w:sz w:val="20"/>
          <w:szCs w:val="20"/>
        </w:rPr>
        <w:t xml:space="preserve">de uso prolongado y presentados </w:t>
      </w:r>
      <w:r w:rsidRPr="00EE5BD6">
        <w:rPr>
          <w:rFonts w:ascii="Montserrat" w:hAnsi="Montserrat"/>
          <w:sz w:val="20"/>
          <w:szCs w:val="20"/>
        </w:rPr>
        <w:t>con los artículos a los que estén destinados, se clasifica</w:t>
      </w:r>
      <w:r w:rsidR="00EE5BD6" w:rsidRPr="00EE5BD6">
        <w:rPr>
          <w:rFonts w:ascii="Montserrat" w:hAnsi="Montserrat"/>
          <w:sz w:val="20"/>
          <w:szCs w:val="20"/>
        </w:rPr>
        <w:t xml:space="preserve">rán con dichos artículos cuando </w:t>
      </w:r>
      <w:r w:rsidRPr="00EE5BD6">
        <w:rPr>
          <w:rFonts w:ascii="Montserrat" w:hAnsi="Montserrat"/>
          <w:sz w:val="20"/>
          <w:szCs w:val="20"/>
        </w:rPr>
        <w:t>sean de los tipos normalmente vendidos con ellos. Sin e</w:t>
      </w:r>
      <w:r w:rsidR="00EE5BD6" w:rsidRPr="00EE5BD6">
        <w:rPr>
          <w:rFonts w:ascii="Montserrat" w:hAnsi="Montserrat"/>
          <w:sz w:val="20"/>
          <w:szCs w:val="20"/>
        </w:rPr>
        <w:t xml:space="preserve">mbargo, esta Regla no se aplica </w:t>
      </w:r>
      <w:r w:rsidRPr="00EE5BD6">
        <w:rPr>
          <w:rFonts w:ascii="Montserrat" w:hAnsi="Montserrat"/>
          <w:sz w:val="20"/>
          <w:szCs w:val="20"/>
        </w:rPr>
        <w:t>en la clasificación de los continentes que confieran al conjunto su carácter esencial;</w:t>
      </w:r>
    </w:p>
    <w:p w:rsidR="00D95760" w:rsidRPr="00EE5BD6" w:rsidRDefault="00D95760" w:rsidP="00EE5BD6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sz w:val="20"/>
          <w:szCs w:val="20"/>
        </w:rPr>
        <w:t>Salvo lo dispuesto en la Regla 5 a) anterior, los enva</w:t>
      </w:r>
      <w:r w:rsidR="00EE5BD6" w:rsidRPr="00EE5BD6">
        <w:rPr>
          <w:rFonts w:ascii="Montserrat" w:hAnsi="Montserrat"/>
          <w:sz w:val="20"/>
          <w:szCs w:val="20"/>
        </w:rPr>
        <w:t xml:space="preserve">ses que contengan mercancías se </w:t>
      </w:r>
      <w:r w:rsidRPr="00EE5BD6">
        <w:rPr>
          <w:rFonts w:ascii="Montserrat" w:hAnsi="Montserrat"/>
          <w:sz w:val="20"/>
          <w:szCs w:val="20"/>
        </w:rPr>
        <w:t>clasificarán con ellas cuando sean de los tipos normalmen</w:t>
      </w:r>
      <w:r w:rsidR="00EE5BD6" w:rsidRPr="00EE5BD6">
        <w:rPr>
          <w:rFonts w:ascii="Montserrat" w:hAnsi="Montserrat"/>
          <w:sz w:val="20"/>
          <w:szCs w:val="20"/>
        </w:rPr>
        <w:t xml:space="preserve">te utilizados para esa clase de </w:t>
      </w:r>
      <w:r w:rsidRPr="00EE5BD6">
        <w:rPr>
          <w:rFonts w:ascii="Montserrat" w:hAnsi="Montserrat"/>
          <w:sz w:val="20"/>
          <w:szCs w:val="20"/>
        </w:rPr>
        <w:t>mercancías. Sin embargo, esta disposición no es obli</w:t>
      </w:r>
      <w:r w:rsidR="00EE5BD6" w:rsidRPr="00EE5BD6">
        <w:rPr>
          <w:rFonts w:ascii="Montserrat" w:hAnsi="Montserrat"/>
          <w:sz w:val="20"/>
          <w:szCs w:val="20"/>
        </w:rPr>
        <w:t xml:space="preserve">gatoria cuando los envases sean </w:t>
      </w:r>
      <w:r w:rsidRPr="00EE5BD6">
        <w:rPr>
          <w:rFonts w:ascii="Montserrat" w:hAnsi="Montserrat"/>
          <w:sz w:val="20"/>
          <w:szCs w:val="20"/>
        </w:rPr>
        <w:t>susceptibles de ser utilizados razonablemente de manera repetida.</w:t>
      </w:r>
    </w:p>
    <w:p w:rsidR="00715CAF" w:rsidRPr="00D95760" w:rsidRDefault="00D95760" w:rsidP="00D95760">
      <w:pPr>
        <w:jc w:val="both"/>
        <w:rPr>
          <w:rFonts w:ascii="Montserrat" w:hAnsi="Montserrat"/>
          <w:sz w:val="20"/>
          <w:szCs w:val="20"/>
        </w:rPr>
      </w:pPr>
      <w:r w:rsidRPr="00EE5BD6">
        <w:rPr>
          <w:rFonts w:ascii="Montserrat" w:hAnsi="Montserrat"/>
          <w:b/>
          <w:sz w:val="20"/>
          <w:szCs w:val="20"/>
        </w:rPr>
        <w:t>6.</w:t>
      </w:r>
      <w:r w:rsidRPr="00D95760">
        <w:rPr>
          <w:rFonts w:ascii="Montserrat" w:hAnsi="Montserrat"/>
          <w:sz w:val="20"/>
          <w:szCs w:val="20"/>
        </w:rPr>
        <w:t xml:space="preserve"> La clasificación de mercancías en las subpartidas de una</w:t>
      </w:r>
      <w:r w:rsidR="00EE5BD6">
        <w:rPr>
          <w:rFonts w:ascii="Montserrat" w:hAnsi="Montserrat"/>
          <w:sz w:val="20"/>
          <w:szCs w:val="20"/>
        </w:rPr>
        <w:t xml:space="preserve"> misma partida está determinada </w:t>
      </w:r>
      <w:r w:rsidRPr="00D95760">
        <w:rPr>
          <w:rFonts w:ascii="Montserrat" w:hAnsi="Montserrat"/>
          <w:sz w:val="20"/>
          <w:szCs w:val="20"/>
        </w:rPr>
        <w:t xml:space="preserve">legalmente por los textos de estas subpartidas y de las Notas </w:t>
      </w:r>
      <w:r w:rsidR="00EE5BD6">
        <w:rPr>
          <w:rFonts w:ascii="Montserrat" w:hAnsi="Montserrat"/>
          <w:sz w:val="20"/>
          <w:szCs w:val="20"/>
        </w:rPr>
        <w:t>de subpartida así como</w:t>
      </w:r>
      <w:r w:rsidR="00EE5BD6" w:rsidRPr="00EE5BD6">
        <w:rPr>
          <w:rFonts w:ascii="Montserrat" w:hAnsi="Montserrat"/>
          <w:i/>
          <w:sz w:val="20"/>
          <w:szCs w:val="20"/>
        </w:rPr>
        <w:t xml:space="preserve">, mutatis </w:t>
      </w:r>
      <w:r w:rsidRPr="00EE5BD6">
        <w:rPr>
          <w:rFonts w:ascii="Montserrat" w:hAnsi="Montserrat"/>
          <w:i/>
          <w:sz w:val="20"/>
          <w:szCs w:val="20"/>
        </w:rPr>
        <w:t>mutandis</w:t>
      </w:r>
      <w:r w:rsidRPr="00D95760">
        <w:rPr>
          <w:rFonts w:ascii="Montserrat" w:hAnsi="Montserrat"/>
          <w:sz w:val="20"/>
          <w:szCs w:val="20"/>
        </w:rPr>
        <w:t>, por las Reglas anteriores, bien entendido que sól</w:t>
      </w:r>
      <w:r w:rsidR="00EE5BD6">
        <w:rPr>
          <w:rFonts w:ascii="Montserrat" w:hAnsi="Montserrat"/>
          <w:sz w:val="20"/>
          <w:szCs w:val="20"/>
        </w:rPr>
        <w:t xml:space="preserve">o pueden compararse subpartidas </w:t>
      </w:r>
      <w:r w:rsidRPr="00D95760">
        <w:rPr>
          <w:rFonts w:ascii="Montserrat" w:hAnsi="Montserrat"/>
          <w:sz w:val="20"/>
          <w:szCs w:val="20"/>
        </w:rPr>
        <w:t>del mismo nivel. A efectos de esta Regla, también se ap</w:t>
      </w:r>
      <w:r w:rsidR="00EE5BD6">
        <w:rPr>
          <w:rFonts w:ascii="Montserrat" w:hAnsi="Montserrat"/>
          <w:sz w:val="20"/>
          <w:szCs w:val="20"/>
        </w:rPr>
        <w:t xml:space="preserve">lican las Notas de Sección y de </w:t>
      </w:r>
      <w:r w:rsidRPr="00D95760">
        <w:rPr>
          <w:rFonts w:ascii="Montserrat" w:hAnsi="Montserrat"/>
          <w:sz w:val="20"/>
          <w:szCs w:val="20"/>
        </w:rPr>
        <w:t>Capítulo, salvo disposición en contrario.</w:t>
      </w:r>
    </w:p>
    <w:p w:rsidR="00D95760" w:rsidRPr="00D95760" w:rsidRDefault="00D95760">
      <w:pPr>
        <w:rPr>
          <w:rFonts w:ascii="Montserrat" w:hAnsi="Montserrat"/>
          <w:sz w:val="20"/>
          <w:szCs w:val="20"/>
        </w:rPr>
      </w:pPr>
    </w:p>
    <w:sectPr w:rsidR="00D95760" w:rsidRPr="00D9576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F3" w:rsidRDefault="004C62F3" w:rsidP="002F760E">
      <w:pPr>
        <w:spacing w:after="0" w:line="240" w:lineRule="auto"/>
      </w:pPr>
      <w:r>
        <w:separator/>
      </w:r>
    </w:p>
  </w:endnote>
  <w:endnote w:type="continuationSeparator" w:id="0">
    <w:p w:rsidR="004C62F3" w:rsidRDefault="004C62F3" w:rsidP="002F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719643"/>
      <w:docPartObj>
        <w:docPartGallery w:val="Page Numbers (Bottom of Page)"/>
        <w:docPartUnique/>
      </w:docPartObj>
    </w:sdtPr>
    <w:sdtContent>
      <w:p w:rsidR="002F760E" w:rsidRDefault="002F760E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0" name="Corchetes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760E" w:rsidRDefault="002F760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2F760E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20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NbuZLs2AgAAZw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2F760E" w:rsidRDefault="002F760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2F760E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9" name="Conector recto de flech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D736D1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9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F3" w:rsidRDefault="004C62F3" w:rsidP="002F760E">
      <w:pPr>
        <w:spacing w:after="0" w:line="240" w:lineRule="auto"/>
      </w:pPr>
      <w:r>
        <w:separator/>
      </w:r>
    </w:p>
  </w:footnote>
  <w:footnote w:type="continuationSeparator" w:id="0">
    <w:p w:rsidR="004C62F3" w:rsidRDefault="004C62F3" w:rsidP="002F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0E" w:rsidRPr="00F44468" w:rsidRDefault="002F760E" w:rsidP="002F760E">
    <w:pPr>
      <w:pStyle w:val="Encabezado"/>
      <w:jc w:val="center"/>
      <w:rPr>
        <w:rFonts w:ascii="Montserrat" w:hAnsi="Montserrat"/>
        <w:b/>
        <w:sz w:val="20"/>
      </w:rPr>
    </w:pPr>
    <w:r w:rsidRPr="00F44468">
      <w:rPr>
        <w:rFonts w:ascii="Montserrat" w:hAnsi="Montserrat"/>
        <w:b/>
        <w:noProof/>
        <w:sz w:val="20"/>
        <w:lang w:eastAsia="es-MX"/>
      </w:rPr>
      <w:drawing>
        <wp:anchor distT="0" distB="0" distL="114300" distR="114300" simplePos="0" relativeHeight="251660288" behindDoc="0" locked="0" layoutInCell="1" allowOverlap="1" wp14:anchorId="100FD7CD" wp14:editId="4AD67CAF">
          <wp:simplePos x="0" y="0"/>
          <wp:positionH relativeFrom="column">
            <wp:posOffset>4786823</wp:posOffset>
          </wp:positionH>
          <wp:positionV relativeFrom="paragraph">
            <wp:posOffset>-162864</wp:posOffset>
          </wp:positionV>
          <wp:extent cx="1645285" cy="628015"/>
          <wp:effectExtent l="0" t="0" r="0" b="635"/>
          <wp:wrapSquare wrapText="bothSides"/>
          <wp:docPr id="1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96" t="4695" r="6623" b="86566"/>
                  <a:stretch/>
                </pic:blipFill>
                <pic:spPr bwMode="auto">
                  <a:xfrm>
                    <a:off x="0" y="0"/>
                    <a:ext cx="1645285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68">
      <w:rPr>
        <w:rFonts w:ascii="Montserrat" w:hAnsi="Montserrat"/>
        <w:b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217A1BAB" wp14:editId="64843DA5">
          <wp:simplePos x="0" y="0"/>
          <wp:positionH relativeFrom="column">
            <wp:posOffset>-889359</wp:posOffset>
          </wp:positionH>
          <wp:positionV relativeFrom="paragraph">
            <wp:posOffset>-123549</wp:posOffset>
          </wp:positionV>
          <wp:extent cx="2488565" cy="662940"/>
          <wp:effectExtent l="0" t="0" r="6985" b="381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de Economí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68">
      <w:rPr>
        <w:rFonts w:ascii="Montserrat" w:hAnsi="Montserrat"/>
        <w:b/>
        <w:sz w:val="20"/>
      </w:rPr>
      <w:t xml:space="preserve">Subsecretaría de Comercio Exterior Dirección General de Facilitación Comercial y de Comercio Exterior </w:t>
    </w:r>
  </w:p>
  <w:p w:rsidR="002F760E" w:rsidRDefault="002F7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A3E"/>
    <w:multiLevelType w:val="hybridMultilevel"/>
    <w:tmpl w:val="AF4C7CF4"/>
    <w:lvl w:ilvl="0" w:tplc="37840E0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282B31"/>
    <w:multiLevelType w:val="hybridMultilevel"/>
    <w:tmpl w:val="9B1E4BE4"/>
    <w:lvl w:ilvl="0" w:tplc="FA3EE9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36AD"/>
    <w:multiLevelType w:val="hybridMultilevel"/>
    <w:tmpl w:val="15D01A9C"/>
    <w:lvl w:ilvl="0" w:tplc="469E7E9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F3E2F"/>
    <w:multiLevelType w:val="hybridMultilevel"/>
    <w:tmpl w:val="3AF2B6E4"/>
    <w:lvl w:ilvl="0" w:tplc="B9CAFC5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C1DBC"/>
    <w:multiLevelType w:val="hybridMultilevel"/>
    <w:tmpl w:val="88742C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2105"/>
    <w:multiLevelType w:val="hybridMultilevel"/>
    <w:tmpl w:val="6EDA1944"/>
    <w:lvl w:ilvl="0" w:tplc="85C0B3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0"/>
    <w:rsid w:val="002B6F3A"/>
    <w:rsid w:val="002F760E"/>
    <w:rsid w:val="004C62F3"/>
    <w:rsid w:val="008622C7"/>
    <w:rsid w:val="00BF1E44"/>
    <w:rsid w:val="00D95760"/>
    <w:rsid w:val="00E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4B84F-4930-4560-80D1-CB47F01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7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60E"/>
  </w:style>
  <w:style w:type="paragraph" w:styleId="Piedepgina">
    <w:name w:val="footer"/>
    <w:basedOn w:val="Normal"/>
    <w:link w:val="PiedepginaCar"/>
    <w:uiPriority w:val="99"/>
    <w:unhideWhenUsed/>
    <w:rsid w:val="002F7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Nallely Olivera García</dc:creator>
  <cp:keywords/>
  <dc:description/>
  <cp:lastModifiedBy>Paola Grisell Rojo Ortíz</cp:lastModifiedBy>
  <cp:revision>2</cp:revision>
  <dcterms:created xsi:type="dcterms:W3CDTF">2022-07-14T22:50:00Z</dcterms:created>
  <dcterms:modified xsi:type="dcterms:W3CDTF">2022-07-14T22:50:00Z</dcterms:modified>
</cp:coreProperties>
</file>