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9F43FC">
      <w:pPr>
        <w:pStyle w:val="Titulo1"/>
        <w:spacing w:before="0"/>
        <w:contextualSpacing/>
        <w:rPr>
          <w:rFonts w:ascii="Arial" w:hAnsi="Arial"/>
          <w:sz w:val="24"/>
          <w:szCs w:val="24"/>
        </w:rPr>
      </w:pPr>
    </w:p>
    <w:p w:rsidR="009F43FC" w:rsidRPr="009F43FC" w:rsidRDefault="009F43FC" w:rsidP="009F43FC">
      <w:pPr>
        <w:pStyle w:val="Titulo1"/>
        <w:spacing w:before="0"/>
        <w:ind w:left="706" w:hanging="706"/>
        <w:contextualSpacing/>
        <w:jc w:val="center"/>
        <w:rPr>
          <w:rFonts w:ascii="Arial" w:hAnsi="Arial"/>
          <w:sz w:val="24"/>
          <w:szCs w:val="24"/>
        </w:rPr>
      </w:pPr>
      <w:r w:rsidRPr="009F43FC">
        <w:rPr>
          <w:rFonts w:ascii="Arial" w:hAnsi="Arial"/>
          <w:sz w:val="24"/>
          <w:szCs w:val="24"/>
        </w:rPr>
        <w:t>RESOLUCIÓN por la que se declara el inicio del examen de vigencia de la cuota compensatoria impuesta a las importaciones de papel bond cortado originarias de la República Federativa de Brasil, independientemente del país de procedencia.</w:t>
      </w:r>
    </w:p>
    <w:p w:rsidR="009F43FC" w:rsidRDefault="009F43FC" w:rsidP="009B259C">
      <w:pPr>
        <w:pStyle w:val="Titulo1"/>
        <w:spacing w:before="0"/>
        <w:ind w:left="706" w:hanging="706"/>
        <w:contextualSpacing/>
        <w:jc w:val="center"/>
        <w:rPr>
          <w:rFonts w:ascii="Arial" w:hAnsi="Arial"/>
          <w:sz w:val="24"/>
          <w:szCs w:val="24"/>
        </w:rPr>
      </w:pP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 xml:space="preserve">Oficial de la Federación el </w:t>
      </w:r>
      <w:r w:rsidR="009F43FC">
        <w:rPr>
          <w:rFonts w:ascii="Arial" w:hAnsi="Arial"/>
          <w:b w:val="0"/>
          <w:szCs w:val="24"/>
        </w:rPr>
        <w:t>11 de marzo de 2013</w:t>
      </w:r>
      <w:r w:rsidRPr="00366D47">
        <w:rPr>
          <w:rFonts w:ascii="Arial" w:hAnsi="Arial"/>
          <w:b w:val="0"/>
          <w:szCs w:val="24"/>
        </w:rPr>
        <w:t>)</w:t>
      </w:r>
    </w:p>
    <w:p w:rsidR="009F43FC" w:rsidRPr="006F52BF" w:rsidRDefault="009F43FC" w:rsidP="009F43FC">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Pr>
          <w:rFonts w:ascii="Arial" w:hAnsi="Arial"/>
          <w:b w:val="0"/>
          <w:szCs w:val="24"/>
        </w:rPr>
        <w:t>05</w:t>
      </w:r>
      <w:r>
        <w:rPr>
          <w:rFonts w:ascii="Arial" w:hAnsi="Arial"/>
          <w:b w:val="0"/>
          <w:szCs w:val="24"/>
        </w:rPr>
        <w:t>-03-2018)</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4945DA">
        <w:rPr>
          <w:b/>
          <w:sz w:val="20"/>
        </w:rPr>
        <w:t xml:space="preserve">a de </w:t>
      </w:r>
      <w:bookmarkStart w:id="0" w:name="_GoBack"/>
      <w:bookmarkEnd w:id="0"/>
      <w:r w:rsidR="004945DA">
        <w:rPr>
          <w:b/>
          <w:sz w:val="20"/>
        </w:rPr>
        <w:t>Economía.</w:t>
      </w:r>
    </w:p>
    <w:p w:rsidR="009F43FC" w:rsidRDefault="009F43FC" w:rsidP="00B2520D">
      <w:pPr>
        <w:pStyle w:val="Titulo2"/>
        <w:spacing w:after="0"/>
        <w:contextualSpacing/>
        <w:rPr>
          <w:b/>
          <w:sz w:val="20"/>
        </w:rPr>
      </w:pP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9F43FC" w:rsidRPr="009F43FC" w:rsidTr="009F43FC">
        <w:trPr>
          <w:tblCellSpacing w:w="0" w:type="dxa"/>
          <w:jc w:val="center"/>
        </w:trPr>
        <w:tc>
          <w:tcPr>
            <w:tcW w:w="0" w:type="auto"/>
            <w:tcMar>
              <w:top w:w="150" w:type="dxa"/>
              <w:left w:w="150" w:type="dxa"/>
              <w:bottom w:w="150" w:type="dxa"/>
              <w:right w:w="150" w:type="dxa"/>
            </w:tcMar>
            <w:vAlign w:val="center"/>
            <w:hideMark/>
          </w:tcPr>
          <w:p w:rsidR="009F43FC" w:rsidRPr="009F43FC" w:rsidRDefault="009F43FC" w:rsidP="009F43FC">
            <w:pPr>
              <w:spacing w:after="101" w:line="240" w:lineRule="auto"/>
              <w:ind w:firstLine="288"/>
              <w:rPr>
                <w:rFonts w:ascii="Times New Roman" w:hAnsi="Times New Roman"/>
                <w:sz w:val="16"/>
                <w:szCs w:val="16"/>
              </w:rPr>
            </w:pPr>
            <w:r w:rsidRPr="009F43FC">
              <w:rPr>
                <w:rFonts w:ascii="Arial" w:hAnsi="Arial" w:cs="Arial"/>
                <w:sz w:val="16"/>
                <w:szCs w:val="16"/>
              </w:rPr>
              <w:t>RESOLUCIÓN POR LA QUE SE DECLARA EL INICIO DEL EXAMEN DE VIGENCIA DE LA CUOTA COMPENSATORIA IMPUESTA A LAS IMPORTACIONES DE PAPEL BOND CORTADO ORIGINARIAS DE LA REPÚBLICA FEDERATIVA DE BRASIL, INDEPENDIENTEMENTE DEL PAÍS DE PROCEDENCIA</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sz w:val="18"/>
                <w:szCs w:val="18"/>
              </w:rPr>
              <w:t>Visto para resolver en la etapa de inicio el expediente administrativo E.C. 01/18 radicado en la Unidad de Prácticas Comerciales Internacionales (UPCI) de la Secretaría de Economía (la "Secretaría"), se emite la presente Resolución de conformidad con los siguientes</w:t>
            </w:r>
          </w:p>
          <w:p w:rsidR="009F43FC" w:rsidRPr="009F43FC" w:rsidRDefault="009F43FC" w:rsidP="009F43FC">
            <w:pPr>
              <w:spacing w:after="101" w:line="240" w:lineRule="auto"/>
              <w:jc w:val="center"/>
              <w:rPr>
                <w:rFonts w:ascii="Times New Roman" w:hAnsi="Times New Roman"/>
                <w:b/>
                <w:sz w:val="18"/>
                <w:szCs w:val="18"/>
              </w:rPr>
            </w:pPr>
            <w:r w:rsidRPr="009F43FC">
              <w:rPr>
                <w:rFonts w:ascii="Times" w:hAnsi="Times" w:cs="Times"/>
                <w:b/>
                <w:sz w:val="18"/>
                <w:szCs w:val="18"/>
              </w:rPr>
              <w:t>RESULTANDOS</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A. Resolución final de la investigación antidumping</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1.</w:t>
            </w:r>
            <w:r w:rsidRPr="009F43FC">
              <w:rPr>
                <w:rFonts w:ascii="Arial" w:hAnsi="Arial" w:cs="Arial"/>
                <w:sz w:val="18"/>
                <w:szCs w:val="18"/>
              </w:rPr>
              <w:t xml:space="preserve"> El 11 de marzo de 2013 se publicó en el Diario Oficial de la Federación (DOF) la Resolución final de la investigación antidumping sobre las importaciones de papel bond cortado originarias de la República Federativa de Brasil ("Brasil"), independientemente del país de procedencia (la "Resolución Final"). Mediante dicha Resolución, se determinó una cuota compensatoria definitiva de 37.78%.</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B. Aviso sobre la vigencia de cuotas compensatorias</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2.</w:t>
            </w:r>
            <w:r w:rsidRPr="009F43FC">
              <w:rPr>
                <w:rFonts w:ascii="Arial" w:hAnsi="Arial" w:cs="Arial"/>
                <w:sz w:val="18"/>
                <w:szCs w:val="18"/>
              </w:rPr>
              <w:t xml:space="preserve"> El 7 de noviembre de 2017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papel bond cortado originario de Brasil, objeto de este examen.</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C. Manifestación de interés</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 xml:space="preserve">3. </w:t>
            </w:r>
            <w:r w:rsidRPr="009F43FC">
              <w:rPr>
                <w:rFonts w:ascii="Arial" w:hAnsi="Arial" w:cs="Arial"/>
                <w:sz w:val="18"/>
                <w:szCs w:val="18"/>
              </w:rPr>
              <w:t xml:space="preserve">El 26 de enero de 2018 </w:t>
            </w:r>
            <w:proofErr w:type="spellStart"/>
            <w:r w:rsidRPr="009F43FC">
              <w:rPr>
                <w:rFonts w:ascii="Arial" w:hAnsi="Arial" w:cs="Arial"/>
                <w:sz w:val="18"/>
                <w:szCs w:val="18"/>
              </w:rPr>
              <w:t>Bio</w:t>
            </w:r>
            <w:proofErr w:type="spellEnd"/>
            <w:r w:rsidRPr="009F43FC">
              <w:rPr>
                <w:rFonts w:ascii="Arial" w:hAnsi="Arial" w:cs="Arial"/>
                <w:sz w:val="18"/>
                <w:szCs w:val="18"/>
              </w:rPr>
              <w:t xml:space="preserve"> </w:t>
            </w:r>
            <w:proofErr w:type="spellStart"/>
            <w:r w:rsidRPr="009F43FC">
              <w:rPr>
                <w:rFonts w:ascii="Arial" w:hAnsi="Arial" w:cs="Arial"/>
                <w:sz w:val="18"/>
                <w:szCs w:val="18"/>
              </w:rPr>
              <w:t>Pappel</w:t>
            </w:r>
            <w:proofErr w:type="spellEnd"/>
            <w:r w:rsidRPr="009F43FC">
              <w:rPr>
                <w:rFonts w:ascii="Arial" w:hAnsi="Arial" w:cs="Arial"/>
                <w:sz w:val="18"/>
                <w:szCs w:val="18"/>
              </w:rPr>
              <w:t xml:space="preserve"> Scribe, S.A. de C.V. y </w:t>
            </w:r>
            <w:proofErr w:type="spellStart"/>
            <w:r w:rsidRPr="009F43FC">
              <w:rPr>
                <w:rFonts w:ascii="Arial" w:hAnsi="Arial" w:cs="Arial"/>
                <w:sz w:val="18"/>
                <w:szCs w:val="18"/>
              </w:rPr>
              <w:t>Pondercel</w:t>
            </w:r>
            <w:proofErr w:type="spellEnd"/>
            <w:r w:rsidRPr="009F43FC">
              <w:rPr>
                <w:rFonts w:ascii="Arial" w:hAnsi="Arial" w:cs="Arial"/>
                <w:sz w:val="18"/>
                <w:szCs w:val="18"/>
              </w:rPr>
              <w:t>, S.A. de C.V. ("Scribe" y "</w:t>
            </w:r>
            <w:proofErr w:type="spellStart"/>
            <w:r w:rsidRPr="009F43FC">
              <w:rPr>
                <w:rFonts w:ascii="Arial" w:hAnsi="Arial" w:cs="Arial"/>
                <w:sz w:val="18"/>
                <w:szCs w:val="18"/>
              </w:rPr>
              <w:t>Pondercel</w:t>
            </w:r>
            <w:proofErr w:type="spellEnd"/>
            <w:r w:rsidRPr="009F43FC">
              <w:rPr>
                <w:rFonts w:ascii="Arial" w:hAnsi="Arial" w:cs="Arial"/>
                <w:sz w:val="18"/>
                <w:szCs w:val="18"/>
              </w:rPr>
              <w:t>", respectivamente), manifestaron su interés en que la Secretaría inicie el examen de vigencia de la cuota compensatoria definitiva impuesta a las importaciones de papel bond cortado originarias de Brasil. Propusieron como periodo de examen el comprendido del 1 de enero al 31 de diciembre de 2017.</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4.</w:t>
            </w:r>
            <w:r w:rsidRPr="009F43FC">
              <w:rPr>
                <w:rFonts w:ascii="Arial" w:hAnsi="Arial" w:cs="Arial"/>
                <w:sz w:val="18"/>
                <w:szCs w:val="18"/>
              </w:rPr>
              <w:t xml:space="preserve"> Scribe y </w:t>
            </w:r>
            <w:proofErr w:type="spellStart"/>
            <w:r w:rsidRPr="009F43FC">
              <w:rPr>
                <w:rFonts w:ascii="Arial" w:hAnsi="Arial" w:cs="Arial"/>
                <w:sz w:val="18"/>
                <w:szCs w:val="18"/>
              </w:rPr>
              <w:t>Pondercel</w:t>
            </w:r>
            <w:proofErr w:type="spellEnd"/>
            <w:r w:rsidRPr="009F43FC">
              <w:rPr>
                <w:rFonts w:ascii="Arial" w:hAnsi="Arial" w:cs="Arial"/>
                <w:sz w:val="18"/>
                <w:szCs w:val="18"/>
              </w:rPr>
              <w:t xml:space="preserve"> son empresas constituidas conforme a las leyes mexicanas. Su actividad principal es, entre otras, fabricar y producir todo tipo de celulosa, pasta de celulosa y papel. Para acreditar su calidad de productores nacionales de papel bond cortado, presentaron una carta de la Cámara Nacional de las Industrias de la Celulosa y del Papel del 30 de enero de 2018. Señalaron como domicilio para recibir notificaciones el ubicado en Misantla No. 21, Col. Roma Sur, C.P. 06760, Ciudad de México.</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D. Producto objeto de examen</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1. Descripción del producto</w:t>
            </w:r>
          </w:p>
          <w:p w:rsidR="009F43FC" w:rsidRPr="009F43FC" w:rsidRDefault="009F43FC" w:rsidP="009F43FC">
            <w:pPr>
              <w:spacing w:after="101" w:line="240" w:lineRule="auto"/>
              <w:ind w:firstLine="288"/>
              <w:rPr>
                <w:rFonts w:ascii="Times New Roman" w:hAnsi="Times New Roman"/>
                <w:sz w:val="14"/>
                <w:szCs w:val="14"/>
              </w:rPr>
            </w:pPr>
            <w:r w:rsidRPr="009F43FC">
              <w:rPr>
                <w:rFonts w:ascii="Arial" w:hAnsi="Arial" w:cs="Arial"/>
                <w:b/>
                <w:bCs/>
                <w:sz w:val="14"/>
                <w:szCs w:val="14"/>
              </w:rPr>
              <w:t>5.</w:t>
            </w:r>
            <w:r w:rsidRPr="009F43FC">
              <w:rPr>
                <w:rFonts w:ascii="Arial" w:hAnsi="Arial" w:cs="Arial"/>
                <w:sz w:val="14"/>
                <w:szCs w:val="14"/>
              </w:rPr>
              <w:t xml:space="preserve"> El producto objeto de examen es el papel bond cortado y/o papel bond o </w:t>
            </w:r>
            <w:proofErr w:type="spellStart"/>
            <w:r w:rsidRPr="009F43FC">
              <w:rPr>
                <w:rFonts w:ascii="Arial" w:hAnsi="Arial" w:cs="Arial"/>
                <w:sz w:val="14"/>
                <w:szCs w:val="14"/>
              </w:rPr>
              <w:t>ledger</w:t>
            </w:r>
            <w:proofErr w:type="spellEnd"/>
            <w:r w:rsidRPr="009F43FC">
              <w:rPr>
                <w:rFonts w:ascii="Arial" w:hAnsi="Arial" w:cs="Arial"/>
                <w:sz w:val="14"/>
                <w:szCs w:val="14"/>
              </w:rPr>
              <w:t xml:space="preserve"> de peso superior o igual a 40 gramos por metro cuadrado (g/m²), pero inferior o igual a 150 g/m²; en hojas rectangulares, uno de cuyos lados sea menor o igual a 435 milímetros (mm) y el otro, menor o igual a 297 mm, medidos sin plegar; con una blancura igual o mayor a 80 grados General Electric o sus equivalentes en los sistemas </w:t>
            </w:r>
            <w:proofErr w:type="spellStart"/>
            <w:r w:rsidRPr="009F43FC">
              <w:rPr>
                <w:rFonts w:ascii="Arial" w:hAnsi="Arial" w:cs="Arial"/>
                <w:sz w:val="14"/>
                <w:szCs w:val="14"/>
              </w:rPr>
              <w:t>photovolt</w:t>
            </w:r>
            <w:proofErr w:type="spellEnd"/>
            <w:r w:rsidRPr="009F43FC">
              <w:rPr>
                <w:rFonts w:ascii="Arial" w:hAnsi="Arial" w:cs="Arial"/>
                <w:sz w:val="14"/>
                <w:szCs w:val="14"/>
              </w:rPr>
              <w:t xml:space="preserve">, de la Comisión Internacional de Iluminación (CIE, por las siglas en francés de </w:t>
            </w:r>
            <w:proofErr w:type="spellStart"/>
            <w:r w:rsidRPr="009F43FC">
              <w:rPr>
                <w:rFonts w:ascii="Arial" w:hAnsi="Arial" w:cs="Arial"/>
                <w:sz w:val="14"/>
                <w:szCs w:val="14"/>
              </w:rPr>
              <w:t>Commission</w:t>
            </w:r>
            <w:proofErr w:type="spellEnd"/>
            <w:r w:rsidRPr="009F43FC">
              <w:rPr>
                <w:rFonts w:ascii="Arial" w:hAnsi="Arial" w:cs="Arial"/>
                <w:sz w:val="14"/>
                <w:szCs w:val="14"/>
              </w:rPr>
              <w:t xml:space="preserve"> </w:t>
            </w:r>
            <w:proofErr w:type="spellStart"/>
            <w:r w:rsidRPr="009F43FC">
              <w:rPr>
                <w:rFonts w:ascii="Arial" w:hAnsi="Arial" w:cs="Arial"/>
                <w:sz w:val="14"/>
                <w:szCs w:val="14"/>
              </w:rPr>
              <w:t>Internationale</w:t>
            </w:r>
            <w:proofErr w:type="spellEnd"/>
            <w:r w:rsidRPr="009F43FC">
              <w:rPr>
                <w:rFonts w:ascii="Arial" w:hAnsi="Arial" w:cs="Arial"/>
                <w:sz w:val="14"/>
                <w:szCs w:val="14"/>
              </w:rPr>
              <w:t xml:space="preserve"> de </w:t>
            </w:r>
            <w:proofErr w:type="spellStart"/>
            <w:r w:rsidRPr="009F43FC">
              <w:rPr>
                <w:rFonts w:ascii="Arial" w:hAnsi="Arial" w:cs="Arial"/>
                <w:sz w:val="14"/>
                <w:szCs w:val="14"/>
              </w:rPr>
              <w:t>L'éclairage</w:t>
            </w:r>
            <w:proofErr w:type="spellEnd"/>
            <w:r w:rsidRPr="009F43FC">
              <w:rPr>
                <w:rFonts w:ascii="Arial" w:hAnsi="Arial" w:cs="Arial"/>
                <w:sz w:val="14"/>
                <w:szCs w:val="14"/>
              </w:rPr>
              <w:t xml:space="preserve">) y de la Organización Internacional de Normalización (ISO, por las siglas en inglés de International </w:t>
            </w:r>
            <w:proofErr w:type="spellStart"/>
            <w:r w:rsidRPr="009F43FC">
              <w:rPr>
                <w:rFonts w:ascii="Arial" w:hAnsi="Arial" w:cs="Arial"/>
                <w:sz w:val="14"/>
                <w:szCs w:val="14"/>
              </w:rPr>
              <w:t>Organization</w:t>
            </w:r>
            <w:proofErr w:type="spellEnd"/>
            <w:r w:rsidRPr="009F43FC">
              <w:rPr>
                <w:rFonts w:ascii="Arial" w:hAnsi="Arial" w:cs="Arial"/>
                <w:sz w:val="14"/>
                <w:szCs w:val="14"/>
              </w:rPr>
              <w:t xml:space="preserve"> </w:t>
            </w:r>
            <w:proofErr w:type="spellStart"/>
            <w:r w:rsidRPr="009F43FC">
              <w:rPr>
                <w:rFonts w:ascii="Arial" w:hAnsi="Arial" w:cs="Arial"/>
                <w:sz w:val="14"/>
                <w:szCs w:val="14"/>
              </w:rPr>
              <w:t>for</w:t>
            </w:r>
            <w:proofErr w:type="spellEnd"/>
            <w:r w:rsidRPr="009F43FC">
              <w:rPr>
                <w:rFonts w:ascii="Arial" w:hAnsi="Arial" w:cs="Arial"/>
                <w:sz w:val="14"/>
                <w:szCs w:val="14"/>
              </w:rPr>
              <w:t xml:space="preserve"> </w:t>
            </w:r>
            <w:proofErr w:type="spellStart"/>
            <w:r w:rsidRPr="009F43FC">
              <w:rPr>
                <w:rFonts w:ascii="Arial" w:hAnsi="Arial" w:cs="Arial"/>
                <w:sz w:val="14"/>
                <w:szCs w:val="14"/>
              </w:rPr>
              <w:t>Standardization</w:t>
            </w:r>
            <w:proofErr w:type="spellEnd"/>
            <w:r w:rsidRPr="009F43FC">
              <w:rPr>
                <w:rFonts w:ascii="Arial" w:hAnsi="Arial" w:cs="Arial"/>
                <w:sz w:val="14"/>
                <w:szCs w:val="14"/>
              </w:rPr>
              <w:t>).</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2. Tratamiento arancelario</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 xml:space="preserve">6. </w:t>
            </w:r>
            <w:r w:rsidRPr="009F43FC">
              <w:rPr>
                <w:rFonts w:ascii="Arial" w:hAnsi="Arial" w:cs="Arial"/>
                <w:sz w:val="18"/>
                <w:szCs w:val="18"/>
              </w:rPr>
              <w:t>El producto objeto de examen ingresa al mercado nacional por las fracciones arancelarias 4802.56.01 y 4823.90.99 de la Tarifa de la Ley de los Impuestos Generales de Importación y de Exportación (TIGIE), cuya descripción es la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97"/>
              <w:gridCol w:w="5711"/>
            </w:tblGrid>
            <w:tr w:rsidR="009F43FC" w:rsidRPr="009F43FC" w:rsidTr="009F43FC">
              <w:trPr>
                <w:trHeight w:val="281"/>
              </w:trPr>
              <w:tc>
                <w:tcPr>
                  <w:tcW w:w="2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9F43FC">
                  <w:pPr>
                    <w:spacing w:after="101" w:line="240" w:lineRule="auto"/>
                    <w:jc w:val="center"/>
                    <w:rPr>
                      <w:rFonts w:ascii="Times New Roman" w:hAnsi="Times New Roman"/>
                      <w:color w:val="000000"/>
                      <w:sz w:val="18"/>
                      <w:szCs w:val="18"/>
                    </w:rPr>
                  </w:pPr>
                  <w:r w:rsidRPr="009F43FC">
                    <w:rPr>
                      <w:rFonts w:ascii="Arial" w:hAnsi="Arial" w:cs="Arial"/>
                      <w:b/>
                      <w:bCs/>
                      <w:color w:val="000000"/>
                      <w:sz w:val="18"/>
                      <w:szCs w:val="18"/>
                    </w:rPr>
                    <w:t>Codificación arancelaria</w:t>
                  </w:r>
                </w:p>
              </w:tc>
              <w:tc>
                <w:tcPr>
                  <w:tcW w:w="6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9F43FC">
                  <w:pPr>
                    <w:spacing w:after="101" w:line="240" w:lineRule="auto"/>
                    <w:jc w:val="center"/>
                    <w:rPr>
                      <w:rFonts w:ascii="Times New Roman" w:hAnsi="Times New Roman"/>
                      <w:color w:val="000000"/>
                      <w:sz w:val="18"/>
                      <w:szCs w:val="18"/>
                    </w:rPr>
                  </w:pPr>
                  <w:r w:rsidRPr="009F43FC">
                    <w:rPr>
                      <w:rFonts w:ascii="Arial" w:hAnsi="Arial" w:cs="Arial"/>
                      <w:b/>
                      <w:bCs/>
                      <w:color w:val="000000"/>
                      <w:sz w:val="18"/>
                      <w:szCs w:val="18"/>
                    </w:rPr>
                    <w:t>Descripción</w:t>
                  </w:r>
                </w:p>
              </w:tc>
            </w:tr>
          </w:tbl>
          <w:p w:rsidR="009F43FC" w:rsidRPr="009F43FC" w:rsidRDefault="009F43FC" w:rsidP="009F43FC">
            <w:pPr>
              <w:spacing w:after="0" w:line="240" w:lineRule="auto"/>
              <w:rPr>
                <w:rFonts w:ascii="Times New Roman" w:hAnsi="Times New Roman"/>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79"/>
              <w:gridCol w:w="5729"/>
            </w:tblGrid>
            <w:tr w:rsidR="009F43FC" w:rsidRPr="009F43FC" w:rsidTr="009F43FC">
              <w:trPr>
                <w:trHeight w:val="329"/>
              </w:trPr>
              <w:tc>
                <w:tcPr>
                  <w:tcW w:w="2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9F43FC">
                  <w:pPr>
                    <w:spacing w:after="101" w:line="240" w:lineRule="auto"/>
                    <w:rPr>
                      <w:rFonts w:ascii="Times New Roman" w:hAnsi="Times New Roman"/>
                      <w:color w:val="000000"/>
                      <w:sz w:val="18"/>
                      <w:szCs w:val="18"/>
                    </w:rPr>
                  </w:pPr>
                  <w:r w:rsidRPr="009F43FC">
                    <w:rPr>
                      <w:rFonts w:ascii="Arial" w:hAnsi="Arial" w:cs="Arial"/>
                      <w:color w:val="000000"/>
                      <w:sz w:val="18"/>
                      <w:szCs w:val="18"/>
                    </w:rPr>
                    <w:t>Capítulo 48</w:t>
                  </w:r>
                </w:p>
              </w:tc>
              <w:tc>
                <w:tcPr>
                  <w:tcW w:w="6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9F43FC">
                  <w:pPr>
                    <w:spacing w:after="101" w:line="240" w:lineRule="auto"/>
                    <w:rPr>
                      <w:rFonts w:ascii="Times New Roman" w:hAnsi="Times New Roman"/>
                      <w:color w:val="000000"/>
                      <w:sz w:val="18"/>
                      <w:szCs w:val="18"/>
                    </w:rPr>
                  </w:pPr>
                  <w:r w:rsidRPr="009F43FC">
                    <w:rPr>
                      <w:rFonts w:ascii="Arial" w:hAnsi="Arial" w:cs="Arial"/>
                      <w:color w:val="000000"/>
                      <w:sz w:val="18"/>
                      <w:szCs w:val="18"/>
                    </w:rPr>
                    <w:t>Papel y cartón; manufacturas de pasta de celulosa, de papel o cartón.</w:t>
                  </w:r>
                </w:p>
              </w:tc>
            </w:tr>
            <w:tr w:rsidR="009F43FC" w:rsidRPr="009F43FC" w:rsidTr="009F43FC">
              <w:trPr>
                <w:trHeight w:val="1241"/>
              </w:trPr>
              <w:tc>
                <w:tcPr>
                  <w:tcW w:w="2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9F43FC">
                  <w:pPr>
                    <w:spacing w:after="101" w:line="240" w:lineRule="auto"/>
                    <w:rPr>
                      <w:rFonts w:ascii="Times New Roman" w:hAnsi="Times New Roman"/>
                      <w:color w:val="000000"/>
                      <w:sz w:val="18"/>
                      <w:szCs w:val="18"/>
                    </w:rPr>
                  </w:pPr>
                  <w:r w:rsidRPr="009F43FC">
                    <w:rPr>
                      <w:rFonts w:ascii="Arial" w:hAnsi="Arial" w:cs="Arial"/>
                      <w:color w:val="000000"/>
                      <w:sz w:val="18"/>
                      <w:szCs w:val="18"/>
                    </w:rPr>
                    <w:t>Partida 4802</w:t>
                  </w:r>
                </w:p>
              </w:tc>
              <w:tc>
                <w:tcPr>
                  <w:tcW w:w="6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9F43FC">
                  <w:pPr>
                    <w:spacing w:after="101" w:line="240" w:lineRule="auto"/>
                    <w:rPr>
                      <w:rFonts w:ascii="Times New Roman" w:hAnsi="Times New Roman"/>
                      <w:color w:val="000000"/>
                      <w:sz w:val="18"/>
                      <w:szCs w:val="18"/>
                    </w:rPr>
                  </w:pPr>
                  <w:r w:rsidRPr="009F43FC">
                    <w:rPr>
                      <w:rFonts w:ascii="Arial" w:hAnsi="Arial" w:cs="Arial"/>
                      <w:color w:val="000000"/>
                      <w:sz w:val="18"/>
                      <w:szCs w:val="18"/>
                    </w:rPr>
                    <w:t>Papel y cartón, sin estucar ni recubrir, de los tipos utilizados para escribir, imprimir u otros fines gráficos y papel y cartón para tarjetas o cintas para perforar (sin perforar), en bobinas (rollos) o en hojas de forma cuadrada o rectangular, de cualquier tamaño, excepto el papel de las partidas 48.01 o 48.03; papel y cartón hechos a mano (hoja a hoja).</w:t>
                  </w:r>
                </w:p>
              </w:tc>
            </w:tr>
            <w:tr w:rsidR="009F43FC" w:rsidRPr="009F43FC" w:rsidTr="009F43FC">
              <w:trPr>
                <w:trHeight w:val="785"/>
              </w:trPr>
              <w:tc>
                <w:tcPr>
                  <w:tcW w:w="2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9F43FC">
                  <w:pPr>
                    <w:spacing w:after="101" w:line="240" w:lineRule="auto"/>
                    <w:rPr>
                      <w:rFonts w:ascii="Times New Roman" w:hAnsi="Times New Roman"/>
                      <w:color w:val="000000"/>
                      <w:sz w:val="18"/>
                      <w:szCs w:val="18"/>
                    </w:rPr>
                  </w:pPr>
                  <w:r w:rsidRPr="009F43FC">
                    <w:rPr>
                      <w:rFonts w:ascii="Times New Roman" w:hAnsi="Times New Roman"/>
                      <w:color w:val="000000"/>
                      <w:sz w:val="18"/>
                      <w:szCs w:val="18"/>
                    </w:rPr>
                    <w:t> </w:t>
                  </w:r>
                </w:p>
              </w:tc>
              <w:tc>
                <w:tcPr>
                  <w:tcW w:w="6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9F43FC">
                  <w:pPr>
                    <w:spacing w:after="101" w:line="240" w:lineRule="auto"/>
                    <w:rPr>
                      <w:rFonts w:ascii="Times New Roman" w:hAnsi="Times New Roman"/>
                      <w:color w:val="000000"/>
                      <w:sz w:val="18"/>
                      <w:szCs w:val="18"/>
                    </w:rPr>
                  </w:pPr>
                  <w:r w:rsidRPr="009F43FC">
                    <w:rPr>
                      <w:rFonts w:ascii="Arial" w:hAnsi="Arial" w:cs="Arial"/>
                      <w:color w:val="000000"/>
                      <w:sz w:val="18"/>
                      <w:szCs w:val="18"/>
                    </w:rPr>
                    <w:t>- Los demás papeles y cartones, sin fibras obtenidas por procedimiento mecánico o químico-mecánico, o con un contenido total de estas fibras inferior o igual al 10% en peso del contenido total de fibra:</w:t>
                  </w:r>
                </w:p>
              </w:tc>
            </w:tr>
            <w:tr w:rsidR="009F43FC" w:rsidRPr="009F43FC" w:rsidTr="009F43FC">
              <w:trPr>
                <w:trHeight w:val="785"/>
              </w:trPr>
              <w:tc>
                <w:tcPr>
                  <w:tcW w:w="2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9F43FC">
                  <w:pPr>
                    <w:spacing w:after="101" w:line="240" w:lineRule="auto"/>
                    <w:rPr>
                      <w:rFonts w:ascii="Times New Roman" w:hAnsi="Times New Roman"/>
                      <w:color w:val="000000"/>
                      <w:sz w:val="18"/>
                      <w:szCs w:val="18"/>
                    </w:rPr>
                  </w:pPr>
                  <w:proofErr w:type="spellStart"/>
                  <w:r w:rsidRPr="009F43FC">
                    <w:rPr>
                      <w:rFonts w:ascii="Arial" w:hAnsi="Arial" w:cs="Arial"/>
                      <w:color w:val="000000"/>
                      <w:sz w:val="18"/>
                      <w:szCs w:val="18"/>
                    </w:rPr>
                    <w:t>Subpartida</w:t>
                  </w:r>
                  <w:proofErr w:type="spellEnd"/>
                  <w:r w:rsidRPr="009F43FC">
                    <w:rPr>
                      <w:rFonts w:ascii="Arial" w:hAnsi="Arial" w:cs="Arial"/>
                      <w:color w:val="000000"/>
                      <w:sz w:val="18"/>
                      <w:szCs w:val="18"/>
                    </w:rPr>
                    <w:t xml:space="preserve"> 4802.56</w:t>
                  </w:r>
                </w:p>
              </w:tc>
              <w:tc>
                <w:tcPr>
                  <w:tcW w:w="6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9F43FC">
                  <w:pPr>
                    <w:spacing w:after="101" w:line="240" w:lineRule="auto"/>
                    <w:rPr>
                      <w:rFonts w:ascii="Times New Roman" w:hAnsi="Times New Roman"/>
                      <w:color w:val="000000"/>
                      <w:sz w:val="18"/>
                      <w:szCs w:val="18"/>
                    </w:rPr>
                  </w:pPr>
                  <w:r w:rsidRPr="009F43FC">
                    <w:rPr>
                      <w:rFonts w:ascii="Arial" w:hAnsi="Arial" w:cs="Arial"/>
                      <w:color w:val="000000"/>
                      <w:sz w:val="18"/>
                      <w:szCs w:val="18"/>
                    </w:rPr>
                    <w:t>-- De peso superior o igual a 40 g/m² pero inferior o igual a 150 g/m², en hojas en las que un lado sea inferior o igual a 435 mm y el otro sea inferior o igual a 297 mm, medidos sin plegar.</w:t>
                  </w:r>
                </w:p>
              </w:tc>
            </w:tr>
            <w:tr w:rsidR="009F43FC" w:rsidRPr="009F43FC" w:rsidTr="009F43FC">
              <w:trPr>
                <w:trHeight w:val="329"/>
              </w:trPr>
              <w:tc>
                <w:tcPr>
                  <w:tcW w:w="2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9F43FC">
                  <w:pPr>
                    <w:spacing w:after="101" w:line="240" w:lineRule="auto"/>
                    <w:rPr>
                      <w:rFonts w:ascii="Times New Roman" w:hAnsi="Times New Roman"/>
                      <w:color w:val="000000"/>
                      <w:sz w:val="18"/>
                      <w:szCs w:val="18"/>
                    </w:rPr>
                  </w:pPr>
                  <w:r w:rsidRPr="009F43FC">
                    <w:rPr>
                      <w:rFonts w:ascii="Arial" w:hAnsi="Arial" w:cs="Arial"/>
                      <w:color w:val="000000"/>
                      <w:sz w:val="18"/>
                      <w:szCs w:val="18"/>
                    </w:rPr>
                    <w:t>Fracción 4802.56.01</w:t>
                  </w:r>
                </w:p>
              </w:tc>
              <w:tc>
                <w:tcPr>
                  <w:tcW w:w="6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9F43FC">
                  <w:pPr>
                    <w:spacing w:after="101" w:line="240" w:lineRule="auto"/>
                    <w:rPr>
                      <w:rFonts w:ascii="Times New Roman" w:hAnsi="Times New Roman"/>
                      <w:color w:val="000000"/>
                      <w:sz w:val="18"/>
                      <w:szCs w:val="18"/>
                    </w:rPr>
                  </w:pPr>
                  <w:r w:rsidRPr="009F43FC">
                    <w:rPr>
                      <w:rFonts w:ascii="Arial" w:hAnsi="Arial" w:cs="Arial"/>
                      <w:color w:val="000000"/>
                      <w:sz w:val="18"/>
                      <w:szCs w:val="18"/>
                    </w:rPr>
                    <w:t xml:space="preserve">Bond o </w:t>
                  </w:r>
                  <w:proofErr w:type="spellStart"/>
                  <w:r w:rsidRPr="009F43FC">
                    <w:rPr>
                      <w:rFonts w:ascii="Arial" w:hAnsi="Arial" w:cs="Arial"/>
                      <w:color w:val="000000"/>
                      <w:sz w:val="18"/>
                      <w:szCs w:val="18"/>
                    </w:rPr>
                    <w:t>ledger</w:t>
                  </w:r>
                  <w:proofErr w:type="spellEnd"/>
                  <w:r w:rsidRPr="009F43FC">
                    <w:rPr>
                      <w:rFonts w:ascii="Arial" w:hAnsi="Arial" w:cs="Arial"/>
                      <w:color w:val="000000"/>
                      <w:sz w:val="18"/>
                      <w:szCs w:val="18"/>
                    </w:rPr>
                    <w:t>.</w:t>
                  </w:r>
                </w:p>
              </w:tc>
            </w:tr>
            <w:tr w:rsidR="009F43FC" w:rsidRPr="009F43FC" w:rsidTr="009F43FC">
              <w:trPr>
                <w:trHeight w:val="785"/>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43FC" w:rsidRPr="009F43FC" w:rsidRDefault="009F43FC" w:rsidP="009F43FC">
                  <w:pPr>
                    <w:spacing w:after="101" w:line="240" w:lineRule="auto"/>
                    <w:rPr>
                      <w:rFonts w:ascii="Times New Roman" w:hAnsi="Times New Roman"/>
                      <w:color w:val="000000"/>
                      <w:sz w:val="18"/>
                      <w:szCs w:val="18"/>
                    </w:rPr>
                  </w:pPr>
                  <w:r w:rsidRPr="009F43FC">
                    <w:rPr>
                      <w:rFonts w:ascii="Arial" w:hAnsi="Arial" w:cs="Arial"/>
                      <w:color w:val="000000"/>
                      <w:sz w:val="18"/>
                      <w:szCs w:val="18"/>
                    </w:rPr>
                    <w:t>Partida 4823</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43FC" w:rsidRPr="009F43FC" w:rsidRDefault="009F43FC" w:rsidP="009F43FC">
                  <w:pPr>
                    <w:spacing w:after="101" w:line="240" w:lineRule="auto"/>
                    <w:rPr>
                      <w:rFonts w:ascii="Times New Roman" w:hAnsi="Times New Roman"/>
                      <w:color w:val="000000"/>
                      <w:sz w:val="18"/>
                      <w:szCs w:val="18"/>
                    </w:rPr>
                  </w:pPr>
                  <w:r w:rsidRPr="009F43FC">
                    <w:rPr>
                      <w:rFonts w:ascii="Arial" w:hAnsi="Arial" w:cs="Arial"/>
                      <w:color w:val="000000"/>
                      <w:sz w:val="18"/>
                      <w:szCs w:val="18"/>
                    </w:rPr>
                    <w:t>Los demás papeles, cartones, guata de celulosa y napa de fibras de celulosa, cortados en formato; los demás artículos de pasta de papel, papel, cartón, guata de celulosa o napa de fibras de celulosa.</w:t>
                  </w:r>
                </w:p>
              </w:tc>
            </w:tr>
            <w:tr w:rsidR="009F43FC" w:rsidRPr="009F43FC" w:rsidTr="009F43FC">
              <w:trPr>
                <w:trHeight w:val="329"/>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43FC" w:rsidRPr="009F43FC" w:rsidRDefault="009F43FC" w:rsidP="009F43FC">
                  <w:pPr>
                    <w:spacing w:after="101" w:line="240" w:lineRule="auto"/>
                    <w:rPr>
                      <w:rFonts w:ascii="Times New Roman" w:hAnsi="Times New Roman"/>
                      <w:color w:val="000000"/>
                      <w:sz w:val="18"/>
                      <w:szCs w:val="18"/>
                    </w:rPr>
                  </w:pPr>
                  <w:proofErr w:type="spellStart"/>
                  <w:r w:rsidRPr="009F43FC">
                    <w:rPr>
                      <w:rFonts w:ascii="Arial" w:hAnsi="Arial" w:cs="Arial"/>
                      <w:color w:val="000000"/>
                      <w:sz w:val="18"/>
                      <w:szCs w:val="18"/>
                    </w:rPr>
                    <w:t>Subpartida</w:t>
                  </w:r>
                  <w:proofErr w:type="spellEnd"/>
                  <w:r w:rsidRPr="009F43FC">
                    <w:rPr>
                      <w:rFonts w:ascii="Arial" w:hAnsi="Arial" w:cs="Arial"/>
                      <w:color w:val="000000"/>
                      <w:sz w:val="18"/>
                      <w:szCs w:val="18"/>
                    </w:rPr>
                    <w:t xml:space="preserve"> 4823.90</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43FC" w:rsidRPr="009F43FC" w:rsidRDefault="009F43FC" w:rsidP="009F43FC">
                  <w:pPr>
                    <w:spacing w:after="101" w:line="240" w:lineRule="auto"/>
                    <w:rPr>
                      <w:rFonts w:ascii="Times New Roman" w:hAnsi="Times New Roman"/>
                      <w:color w:val="000000"/>
                      <w:sz w:val="18"/>
                      <w:szCs w:val="18"/>
                    </w:rPr>
                  </w:pPr>
                  <w:r w:rsidRPr="009F43FC">
                    <w:rPr>
                      <w:rFonts w:ascii="Arial" w:hAnsi="Arial" w:cs="Arial"/>
                      <w:color w:val="000000"/>
                      <w:sz w:val="18"/>
                      <w:szCs w:val="18"/>
                    </w:rPr>
                    <w:t>- Los demás.</w:t>
                  </w:r>
                </w:p>
              </w:tc>
            </w:tr>
            <w:tr w:rsidR="009F43FC" w:rsidRPr="009F43FC" w:rsidTr="009F43FC">
              <w:trPr>
                <w:trHeight w:val="344"/>
              </w:trPr>
              <w:tc>
                <w:tcPr>
                  <w:tcW w:w="2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9F43FC">
                  <w:pPr>
                    <w:spacing w:after="101" w:line="240" w:lineRule="auto"/>
                    <w:rPr>
                      <w:rFonts w:ascii="Times New Roman" w:hAnsi="Times New Roman"/>
                      <w:color w:val="000000"/>
                      <w:sz w:val="18"/>
                      <w:szCs w:val="18"/>
                    </w:rPr>
                  </w:pPr>
                  <w:r w:rsidRPr="009F43FC">
                    <w:rPr>
                      <w:rFonts w:ascii="Arial" w:hAnsi="Arial" w:cs="Arial"/>
                      <w:color w:val="000000"/>
                      <w:sz w:val="18"/>
                      <w:szCs w:val="18"/>
                    </w:rPr>
                    <w:t>Fracción 4823.90.99</w:t>
                  </w:r>
                </w:p>
              </w:tc>
              <w:tc>
                <w:tcPr>
                  <w:tcW w:w="6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9F43FC">
                  <w:pPr>
                    <w:spacing w:after="101" w:line="240" w:lineRule="auto"/>
                    <w:rPr>
                      <w:rFonts w:ascii="Times New Roman" w:hAnsi="Times New Roman"/>
                      <w:color w:val="000000"/>
                      <w:sz w:val="18"/>
                      <w:szCs w:val="18"/>
                    </w:rPr>
                  </w:pPr>
                  <w:r w:rsidRPr="009F43FC">
                    <w:rPr>
                      <w:rFonts w:ascii="Arial" w:hAnsi="Arial" w:cs="Arial"/>
                      <w:color w:val="000000"/>
                      <w:sz w:val="18"/>
                      <w:szCs w:val="18"/>
                    </w:rPr>
                    <w:t>Los demás.</w:t>
                  </w:r>
                </w:p>
              </w:tc>
            </w:tr>
          </w:tbl>
          <w:p w:rsidR="009F43FC" w:rsidRPr="009F43FC" w:rsidRDefault="009F43FC" w:rsidP="009F43FC">
            <w:pPr>
              <w:spacing w:after="101" w:line="240" w:lineRule="auto"/>
              <w:ind w:firstLine="288"/>
              <w:rPr>
                <w:rFonts w:ascii="Times New Roman" w:hAnsi="Times New Roman"/>
                <w:sz w:val="16"/>
                <w:szCs w:val="16"/>
              </w:rPr>
            </w:pPr>
            <w:r w:rsidRPr="009F43FC">
              <w:rPr>
                <w:rFonts w:ascii="Arial" w:hAnsi="Arial" w:cs="Arial"/>
                <w:sz w:val="16"/>
                <w:szCs w:val="16"/>
              </w:rPr>
              <w:t>Fuente: Sistema de Información Arancelaria Vía Internet (SIAVI)</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7.</w:t>
            </w:r>
            <w:r w:rsidRPr="009F43FC">
              <w:rPr>
                <w:rFonts w:ascii="Arial" w:hAnsi="Arial" w:cs="Arial"/>
                <w:sz w:val="18"/>
                <w:szCs w:val="18"/>
              </w:rPr>
              <w:t xml:space="preserve"> La unidad de medida que utiliza la TIGIE es el kilogramo, aunque en las operaciones comerciales se utilizan millares.</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8.</w:t>
            </w:r>
            <w:r w:rsidRPr="009F43FC">
              <w:rPr>
                <w:rFonts w:ascii="Arial" w:hAnsi="Arial" w:cs="Arial"/>
                <w:sz w:val="18"/>
                <w:szCs w:val="18"/>
              </w:rPr>
              <w:t xml:space="preserve"> De acuerdo con el SIAVI, las importaciones de la mercancía objeto de la solicitud están sujetas a un arancel </w:t>
            </w:r>
            <w:r w:rsidRPr="009F43FC">
              <w:rPr>
                <w:rFonts w:ascii="Arial" w:hAnsi="Arial" w:cs="Arial"/>
                <w:i/>
                <w:iCs/>
                <w:sz w:val="18"/>
                <w:szCs w:val="18"/>
              </w:rPr>
              <w:t xml:space="preserve">ad </w:t>
            </w:r>
            <w:proofErr w:type="spellStart"/>
            <w:r w:rsidRPr="009F43FC">
              <w:rPr>
                <w:rFonts w:ascii="Arial" w:hAnsi="Arial" w:cs="Arial"/>
                <w:i/>
                <w:iCs/>
                <w:sz w:val="18"/>
                <w:szCs w:val="18"/>
              </w:rPr>
              <w:t>valorem</w:t>
            </w:r>
            <w:proofErr w:type="spellEnd"/>
            <w:r w:rsidRPr="009F43FC">
              <w:rPr>
                <w:rFonts w:ascii="Arial" w:hAnsi="Arial" w:cs="Arial"/>
                <w:sz w:val="18"/>
                <w:szCs w:val="18"/>
              </w:rPr>
              <w:t xml:space="preserve"> del 5%.</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3. Proceso productivo</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9.</w:t>
            </w:r>
            <w:r w:rsidRPr="009F43FC">
              <w:rPr>
                <w:rFonts w:ascii="Arial" w:hAnsi="Arial" w:cs="Arial"/>
                <w:sz w:val="18"/>
                <w:szCs w:val="18"/>
              </w:rPr>
              <w:t xml:space="preserve"> La hoja de papel bond es una trama aplanada de fibras vegetales, elaboradas con celulosas vírgenes o recicladas de diversos orígenes, obtenidas por un proceso químico o mecánico. Los insumos utilizados en la fabricación de papel bond son: celulosas blanqueadas de diferentes tipos (madera, bagazo de caña, entre otros), agua, fibra secundaria, cargas minerales (caolín, dióxido de titanio, carbonato de calcio, entre otros), productos químicos (colas, gelatina, resinas orgánicas y/o sintéticas, entre otros) y aditivos (dispersantes, bactericidas, antiespumantes y colorantes, entre otros). La fabricación del papel bond cortado tiene cuatro etapas:</w:t>
            </w:r>
          </w:p>
          <w:p w:rsidR="009F43FC" w:rsidRPr="009F43FC" w:rsidRDefault="009F43FC" w:rsidP="009F43FC">
            <w:pPr>
              <w:spacing w:after="101" w:line="240" w:lineRule="auto"/>
              <w:ind w:hanging="432"/>
              <w:rPr>
                <w:rFonts w:ascii="Times New Roman" w:hAnsi="Times New Roman"/>
                <w:sz w:val="18"/>
                <w:szCs w:val="18"/>
              </w:rPr>
            </w:pPr>
            <w:r w:rsidRPr="009F43FC">
              <w:rPr>
                <w:rFonts w:ascii="Arial" w:hAnsi="Arial" w:cs="Arial"/>
                <w:b/>
                <w:bCs/>
                <w:sz w:val="18"/>
                <w:szCs w:val="18"/>
              </w:rPr>
              <w:t>a.</w:t>
            </w:r>
            <w:r w:rsidRPr="009F43FC">
              <w:rPr>
                <w:rFonts w:ascii="Arial" w:hAnsi="Arial" w:cs="Arial"/>
                <w:sz w:val="20"/>
                <w:szCs w:val="20"/>
              </w:rPr>
              <w:t>     </w:t>
            </w:r>
            <w:r w:rsidRPr="009F43FC">
              <w:rPr>
                <w:rFonts w:ascii="Arial" w:hAnsi="Arial" w:cs="Arial"/>
                <w:sz w:val="18"/>
                <w:szCs w:val="18"/>
              </w:rPr>
              <w:t>la obtención de pasta que se da al mezclar mecánicamente fibras diluidas en agua con distintas cargas, colas y colorantes;</w:t>
            </w:r>
          </w:p>
          <w:p w:rsidR="009F43FC" w:rsidRPr="009F43FC" w:rsidRDefault="009F43FC" w:rsidP="009F43FC">
            <w:pPr>
              <w:spacing w:after="101" w:line="240" w:lineRule="auto"/>
              <w:ind w:hanging="432"/>
              <w:rPr>
                <w:rFonts w:ascii="Times New Roman" w:hAnsi="Times New Roman"/>
                <w:sz w:val="18"/>
                <w:szCs w:val="18"/>
              </w:rPr>
            </w:pPr>
            <w:r w:rsidRPr="009F43FC">
              <w:rPr>
                <w:rFonts w:ascii="Arial" w:hAnsi="Arial" w:cs="Arial"/>
                <w:b/>
                <w:bCs/>
                <w:sz w:val="18"/>
                <w:szCs w:val="18"/>
              </w:rPr>
              <w:t>b.</w:t>
            </w:r>
            <w:r w:rsidRPr="009F43FC">
              <w:rPr>
                <w:rFonts w:ascii="Arial" w:hAnsi="Arial" w:cs="Arial"/>
                <w:sz w:val="20"/>
                <w:szCs w:val="20"/>
              </w:rPr>
              <w:t>    </w:t>
            </w:r>
            <w:r w:rsidRPr="009F43FC">
              <w:rPr>
                <w:rFonts w:ascii="Arial" w:hAnsi="Arial" w:cs="Arial"/>
                <w:sz w:val="18"/>
                <w:szCs w:val="18"/>
              </w:rPr>
              <w:t>la pasta se vierte en un órgano filtrante y se conduce a una mesa de fabricación que se constituye por una tela sinfín, para eliminar el agua por gravedad;</w:t>
            </w:r>
          </w:p>
          <w:p w:rsidR="009F43FC" w:rsidRPr="009F43FC" w:rsidRDefault="009F43FC" w:rsidP="009F43FC">
            <w:pPr>
              <w:spacing w:after="101" w:line="240" w:lineRule="auto"/>
              <w:jc w:val="center"/>
              <w:rPr>
                <w:rFonts w:ascii="Times New Roman" w:hAnsi="Times New Roman"/>
                <w:sz w:val="18"/>
                <w:szCs w:val="18"/>
              </w:rPr>
            </w:pPr>
            <w:r w:rsidRPr="009F43FC">
              <w:rPr>
                <w:rFonts w:ascii="Arial" w:hAnsi="Arial" w:cs="Arial"/>
                <w:noProof/>
                <w:sz w:val="18"/>
                <w:szCs w:val="18"/>
              </w:rPr>
              <w:drawing>
                <wp:inline distT="0" distB="0" distL="0" distR="0">
                  <wp:extent cx="3267710" cy="715645"/>
                  <wp:effectExtent l="0" t="0" r="8890" b="8255"/>
                  <wp:docPr id="3" name="Imagen 3" descr="http://www.dof.gob.mx/imagenes_diarios/2018/03/05/MAT/seeco11_Cimg_1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3/05/MAT/seeco11_Cimg_185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7710" cy="715645"/>
                          </a:xfrm>
                          <a:prstGeom prst="rect">
                            <a:avLst/>
                          </a:prstGeom>
                          <a:noFill/>
                          <a:ln>
                            <a:noFill/>
                          </a:ln>
                        </pic:spPr>
                      </pic:pic>
                    </a:graphicData>
                  </a:graphic>
                </wp:inline>
              </w:drawing>
            </w:r>
          </w:p>
          <w:p w:rsidR="009F43FC" w:rsidRPr="009F43FC" w:rsidRDefault="009F43FC" w:rsidP="009F43FC">
            <w:pPr>
              <w:spacing w:after="101" w:line="240" w:lineRule="auto"/>
              <w:ind w:hanging="432"/>
              <w:rPr>
                <w:rFonts w:ascii="Times New Roman" w:hAnsi="Times New Roman"/>
                <w:sz w:val="18"/>
                <w:szCs w:val="18"/>
              </w:rPr>
            </w:pPr>
            <w:r w:rsidRPr="009F43FC">
              <w:rPr>
                <w:rFonts w:ascii="Arial" w:hAnsi="Arial" w:cs="Arial"/>
                <w:b/>
                <w:bCs/>
                <w:sz w:val="18"/>
                <w:szCs w:val="18"/>
              </w:rPr>
              <w:t>c.</w:t>
            </w:r>
            <w:r w:rsidRPr="009F43FC">
              <w:rPr>
                <w:rFonts w:ascii="Arial" w:hAnsi="Arial" w:cs="Arial"/>
                <w:sz w:val="20"/>
                <w:szCs w:val="20"/>
              </w:rPr>
              <w:t>     </w:t>
            </w:r>
            <w:r w:rsidRPr="009F43FC">
              <w:rPr>
                <w:rFonts w:ascii="Arial" w:hAnsi="Arial" w:cs="Arial"/>
                <w:sz w:val="18"/>
                <w:szCs w:val="18"/>
              </w:rPr>
              <w:t>la pasta pasa por prensas y secadores que le dan el grosor y eliminan el resto del agua, el papel se enrolla en una bobina, y</w:t>
            </w:r>
          </w:p>
          <w:p w:rsidR="009F43FC" w:rsidRPr="009F43FC" w:rsidRDefault="009F43FC" w:rsidP="009F43FC">
            <w:pPr>
              <w:spacing w:after="101" w:line="240" w:lineRule="auto"/>
              <w:ind w:hanging="432"/>
              <w:rPr>
                <w:rFonts w:ascii="Times New Roman" w:hAnsi="Times New Roman"/>
                <w:sz w:val="18"/>
                <w:szCs w:val="18"/>
              </w:rPr>
            </w:pPr>
            <w:r w:rsidRPr="009F43FC">
              <w:rPr>
                <w:rFonts w:ascii="Arial" w:hAnsi="Arial" w:cs="Arial"/>
                <w:b/>
                <w:bCs/>
                <w:sz w:val="18"/>
                <w:szCs w:val="18"/>
              </w:rPr>
              <w:t>d.</w:t>
            </w:r>
            <w:r w:rsidRPr="009F43FC">
              <w:rPr>
                <w:rFonts w:ascii="Arial" w:hAnsi="Arial" w:cs="Arial"/>
                <w:sz w:val="20"/>
                <w:szCs w:val="20"/>
              </w:rPr>
              <w:t>    </w:t>
            </w:r>
            <w:r w:rsidRPr="009F43FC">
              <w:rPr>
                <w:rFonts w:ascii="Arial" w:hAnsi="Arial" w:cs="Arial"/>
                <w:sz w:val="18"/>
                <w:szCs w:val="18"/>
              </w:rPr>
              <w:t>el papel de la bobina pasa por máquinas cortadoras que le dan el formato final al producto.</w:t>
            </w:r>
          </w:p>
          <w:p w:rsidR="009F43FC" w:rsidRPr="009F43FC" w:rsidRDefault="009F43FC" w:rsidP="009F43FC">
            <w:pPr>
              <w:spacing w:after="101" w:line="240" w:lineRule="auto"/>
              <w:jc w:val="center"/>
              <w:rPr>
                <w:rFonts w:ascii="Times New Roman" w:hAnsi="Times New Roman"/>
                <w:sz w:val="18"/>
                <w:szCs w:val="18"/>
              </w:rPr>
            </w:pPr>
            <w:r w:rsidRPr="009F43FC">
              <w:rPr>
                <w:rFonts w:ascii="Arial" w:hAnsi="Arial" w:cs="Arial"/>
                <w:noProof/>
                <w:sz w:val="18"/>
                <w:szCs w:val="18"/>
              </w:rPr>
              <w:drawing>
                <wp:inline distT="0" distB="0" distL="0" distR="0">
                  <wp:extent cx="3625850" cy="620395"/>
                  <wp:effectExtent l="0" t="0" r="0" b="8255"/>
                  <wp:docPr id="1" name="Imagen 1" descr="http://www.dof.gob.mx/imagenes_diarios/2018/03/05/MAT/seeco11_Cimg_22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3/05/MAT/seeco11_Cimg_2228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5850" cy="620395"/>
                          </a:xfrm>
                          <a:prstGeom prst="rect">
                            <a:avLst/>
                          </a:prstGeom>
                          <a:noFill/>
                          <a:ln>
                            <a:noFill/>
                          </a:ln>
                        </pic:spPr>
                      </pic:pic>
                    </a:graphicData>
                  </a:graphic>
                </wp:inline>
              </w:drawing>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4. Normas</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10.</w:t>
            </w:r>
            <w:r w:rsidRPr="009F43FC">
              <w:rPr>
                <w:rFonts w:ascii="Arial" w:hAnsi="Arial" w:cs="Arial"/>
                <w:sz w:val="18"/>
                <w:szCs w:val="18"/>
              </w:rPr>
              <w:t xml:space="preserve"> El producto objeto de examen se fabrica conforme a las especificaciones de peso y brillantez del papel </w:t>
            </w:r>
          </w:p>
          <w:p w:rsidR="009F43FC" w:rsidRPr="009F43FC" w:rsidRDefault="009F43FC" w:rsidP="009F43FC">
            <w:pPr>
              <w:spacing w:after="101" w:line="240" w:lineRule="auto"/>
              <w:rPr>
                <w:rFonts w:ascii="Times New Roman" w:hAnsi="Times New Roman"/>
                <w:sz w:val="18"/>
                <w:szCs w:val="18"/>
              </w:rPr>
            </w:pPr>
            <w:r w:rsidRPr="009F43FC">
              <w:rPr>
                <w:rFonts w:ascii="Arial" w:hAnsi="Arial" w:cs="Arial"/>
                <w:sz w:val="18"/>
                <w:szCs w:val="18"/>
              </w:rPr>
              <w:t xml:space="preserve">establecidas en normas mexicanas NMX-N-001-SCFI-2011 (que sustituyó a la Norma NMX-N-001-SCFl-2005) y NMX-N-004-SCFI-2005, así como a las especificaciones internacionales de gramaje y blancura de la Asociación Técnica de la Industria del Papel y la Pulpa (TAPPI, por las siglas en inglés de </w:t>
            </w:r>
            <w:proofErr w:type="spellStart"/>
            <w:r w:rsidRPr="009F43FC">
              <w:rPr>
                <w:rFonts w:ascii="Arial" w:hAnsi="Arial" w:cs="Arial"/>
                <w:sz w:val="18"/>
                <w:szCs w:val="18"/>
              </w:rPr>
              <w:t>Technical</w:t>
            </w:r>
            <w:proofErr w:type="spellEnd"/>
            <w:r w:rsidRPr="009F43FC">
              <w:rPr>
                <w:rFonts w:ascii="Arial" w:hAnsi="Arial" w:cs="Arial"/>
                <w:sz w:val="18"/>
                <w:szCs w:val="18"/>
              </w:rPr>
              <w:t xml:space="preserve"> </w:t>
            </w:r>
            <w:proofErr w:type="spellStart"/>
            <w:r w:rsidRPr="009F43FC">
              <w:rPr>
                <w:rFonts w:ascii="Arial" w:hAnsi="Arial" w:cs="Arial"/>
                <w:sz w:val="18"/>
                <w:szCs w:val="18"/>
              </w:rPr>
              <w:t>Associates</w:t>
            </w:r>
            <w:proofErr w:type="spellEnd"/>
            <w:r w:rsidRPr="009F43FC">
              <w:rPr>
                <w:rFonts w:ascii="Arial" w:hAnsi="Arial" w:cs="Arial"/>
                <w:sz w:val="18"/>
                <w:szCs w:val="18"/>
              </w:rPr>
              <w:t xml:space="preserve"> </w:t>
            </w:r>
            <w:proofErr w:type="spellStart"/>
            <w:r w:rsidRPr="009F43FC">
              <w:rPr>
                <w:rFonts w:ascii="Arial" w:hAnsi="Arial" w:cs="Arial"/>
                <w:sz w:val="18"/>
                <w:szCs w:val="18"/>
              </w:rPr>
              <w:t>Pulp</w:t>
            </w:r>
            <w:proofErr w:type="spellEnd"/>
            <w:r w:rsidRPr="009F43FC">
              <w:rPr>
                <w:rFonts w:ascii="Arial" w:hAnsi="Arial" w:cs="Arial"/>
                <w:sz w:val="18"/>
                <w:szCs w:val="18"/>
              </w:rPr>
              <w:t xml:space="preserve"> and </w:t>
            </w:r>
            <w:proofErr w:type="spellStart"/>
            <w:r w:rsidRPr="009F43FC">
              <w:rPr>
                <w:rFonts w:ascii="Arial" w:hAnsi="Arial" w:cs="Arial"/>
                <w:sz w:val="18"/>
                <w:szCs w:val="18"/>
              </w:rPr>
              <w:t>Paper</w:t>
            </w:r>
            <w:proofErr w:type="spellEnd"/>
            <w:r w:rsidRPr="009F43FC">
              <w:rPr>
                <w:rFonts w:ascii="Arial" w:hAnsi="Arial" w:cs="Arial"/>
                <w:sz w:val="18"/>
                <w:szCs w:val="18"/>
              </w:rPr>
              <w:t xml:space="preserve"> International) T-410 y T-452.</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5. Usos y funciones</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 xml:space="preserve">11. </w:t>
            </w:r>
            <w:r w:rsidRPr="009F43FC">
              <w:rPr>
                <w:rFonts w:ascii="Arial" w:hAnsi="Arial" w:cs="Arial"/>
                <w:sz w:val="18"/>
                <w:szCs w:val="18"/>
              </w:rPr>
              <w:t>El producto objeto de examen se emplea para escritura, impresión o estampado, por medios manuales, mecánicos (por ejemplo, máquinas de escribir e imprentas) o electrónicos (por ejemplo, fotocopiadoras, impresoras láser e impresoras de inyección de tinta).</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E. Posibles partes interesadas</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 xml:space="preserve">12. </w:t>
            </w:r>
            <w:r w:rsidRPr="009F43FC">
              <w:rPr>
                <w:rFonts w:ascii="Arial" w:hAnsi="Arial" w:cs="Arial"/>
                <w:sz w:val="18"/>
                <w:szCs w:val="18"/>
              </w:rPr>
              <w:t>Las partes de que la Secretaría tiene conocimiento y que podrían tener interés en comparecer, son las siguientes:</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1. Importadoras</w:t>
            </w:r>
          </w:p>
          <w:p w:rsidR="009F43FC" w:rsidRPr="009F43FC" w:rsidRDefault="009F43FC" w:rsidP="009F43FC">
            <w:pPr>
              <w:spacing w:after="20" w:line="240" w:lineRule="auto"/>
              <w:ind w:firstLine="288"/>
              <w:rPr>
                <w:rFonts w:ascii="Times New Roman" w:hAnsi="Times New Roman"/>
                <w:sz w:val="18"/>
                <w:szCs w:val="18"/>
              </w:rPr>
            </w:pPr>
            <w:r w:rsidRPr="009F43FC">
              <w:rPr>
                <w:rFonts w:ascii="Arial" w:hAnsi="Arial" w:cs="Arial"/>
                <w:sz w:val="18"/>
                <w:szCs w:val="18"/>
              </w:rPr>
              <w:t>Formas para Negocios, S.A. de C.V.</w:t>
            </w:r>
          </w:p>
          <w:p w:rsidR="009F43FC" w:rsidRPr="009F43FC" w:rsidRDefault="009F43FC" w:rsidP="009F43FC">
            <w:pPr>
              <w:spacing w:after="20" w:line="240" w:lineRule="auto"/>
              <w:ind w:firstLine="288"/>
              <w:rPr>
                <w:rFonts w:ascii="Times New Roman" w:hAnsi="Times New Roman"/>
                <w:sz w:val="18"/>
                <w:szCs w:val="18"/>
              </w:rPr>
            </w:pPr>
            <w:r w:rsidRPr="009F43FC">
              <w:rPr>
                <w:rFonts w:ascii="Arial" w:hAnsi="Arial" w:cs="Arial"/>
                <w:sz w:val="18"/>
                <w:szCs w:val="18"/>
              </w:rPr>
              <w:t>Calzada Vallejo No. 1829</w:t>
            </w:r>
          </w:p>
          <w:p w:rsidR="009F43FC" w:rsidRPr="009F43FC" w:rsidRDefault="009F43FC" w:rsidP="009F43FC">
            <w:pPr>
              <w:spacing w:after="20" w:line="240" w:lineRule="auto"/>
              <w:ind w:firstLine="288"/>
              <w:rPr>
                <w:rFonts w:ascii="Times New Roman" w:hAnsi="Times New Roman"/>
                <w:sz w:val="18"/>
                <w:szCs w:val="18"/>
              </w:rPr>
            </w:pPr>
            <w:r w:rsidRPr="009F43FC">
              <w:rPr>
                <w:rFonts w:ascii="Arial" w:hAnsi="Arial" w:cs="Arial"/>
                <w:sz w:val="18"/>
                <w:szCs w:val="18"/>
              </w:rPr>
              <w:t>Col. San José de la Escalera</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sz w:val="18"/>
                <w:szCs w:val="18"/>
              </w:rPr>
              <w:t>C.P. 07630, Ciudad de México</w:t>
            </w:r>
          </w:p>
          <w:p w:rsidR="009F43FC" w:rsidRPr="009F43FC" w:rsidRDefault="009F43FC" w:rsidP="009F43FC">
            <w:pPr>
              <w:spacing w:after="20" w:line="240" w:lineRule="auto"/>
              <w:ind w:firstLine="288"/>
              <w:rPr>
                <w:rFonts w:ascii="Times New Roman" w:hAnsi="Times New Roman"/>
                <w:sz w:val="18"/>
                <w:szCs w:val="18"/>
              </w:rPr>
            </w:pPr>
            <w:r w:rsidRPr="009F43FC">
              <w:rPr>
                <w:rFonts w:ascii="Arial" w:hAnsi="Arial" w:cs="Arial"/>
                <w:sz w:val="18"/>
                <w:szCs w:val="18"/>
              </w:rPr>
              <w:t>Formas y Sistemas Mexicanos, S.A. de C.V.</w:t>
            </w:r>
          </w:p>
          <w:p w:rsidR="009F43FC" w:rsidRPr="009F43FC" w:rsidRDefault="009F43FC" w:rsidP="009F43FC">
            <w:pPr>
              <w:spacing w:after="20" w:line="240" w:lineRule="auto"/>
              <w:ind w:firstLine="288"/>
              <w:rPr>
                <w:rFonts w:ascii="Times New Roman" w:hAnsi="Times New Roman"/>
                <w:sz w:val="18"/>
                <w:szCs w:val="18"/>
              </w:rPr>
            </w:pPr>
            <w:r w:rsidRPr="009F43FC">
              <w:rPr>
                <w:rFonts w:ascii="Arial" w:hAnsi="Arial" w:cs="Arial"/>
                <w:sz w:val="18"/>
                <w:szCs w:val="18"/>
              </w:rPr>
              <w:t>Poniente 150 No. 932</w:t>
            </w:r>
          </w:p>
          <w:p w:rsidR="009F43FC" w:rsidRPr="009F43FC" w:rsidRDefault="009F43FC" w:rsidP="009F43FC">
            <w:pPr>
              <w:spacing w:after="20" w:line="240" w:lineRule="auto"/>
              <w:ind w:firstLine="288"/>
              <w:rPr>
                <w:rFonts w:ascii="Times New Roman" w:hAnsi="Times New Roman"/>
                <w:sz w:val="18"/>
                <w:szCs w:val="18"/>
              </w:rPr>
            </w:pPr>
            <w:r w:rsidRPr="009F43FC">
              <w:rPr>
                <w:rFonts w:ascii="Arial" w:hAnsi="Arial" w:cs="Arial"/>
                <w:sz w:val="18"/>
                <w:szCs w:val="18"/>
              </w:rPr>
              <w:t>Col. Industrial Vallejo</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sz w:val="18"/>
                <w:szCs w:val="18"/>
              </w:rPr>
              <w:t>C.P. 02300, Ciudad de México</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2. Exportadoras</w:t>
            </w:r>
          </w:p>
          <w:p w:rsidR="009F43FC" w:rsidRPr="009F43FC" w:rsidRDefault="009F43FC" w:rsidP="009F43FC">
            <w:pPr>
              <w:spacing w:after="20" w:line="240" w:lineRule="auto"/>
              <w:ind w:firstLine="288"/>
              <w:rPr>
                <w:rFonts w:ascii="Times New Roman" w:hAnsi="Times New Roman"/>
                <w:sz w:val="18"/>
                <w:szCs w:val="18"/>
              </w:rPr>
            </w:pPr>
            <w:r w:rsidRPr="009F43FC">
              <w:rPr>
                <w:rFonts w:ascii="Arial" w:hAnsi="Arial" w:cs="Arial"/>
                <w:sz w:val="18"/>
                <w:szCs w:val="18"/>
              </w:rPr>
              <w:t xml:space="preserve">International </w:t>
            </w:r>
            <w:proofErr w:type="spellStart"/>
            <w:r w:rsidRPr="009F43FC">
              <w:rPr>
                <w:rFonts w:ascii="Arial" w:hAnsi="Arial" w:cs="Arial"/>
                <w:sz w:val="18"/>
                <w:szCs w:val="18"/>
              </w:rPr>
              <w:t>Paper</w:t>
            </w:r>
            <w:proofErr w:type="spellEnd"/>
            <w:r w:rsidRPr="009F43FC">
              <w:rPr>
                <w:rFonts w:ascii="Arial" w:hAnsi="Arial" w:cs="Arial"/>
                <w:sz w:val="18"/>
                <w:szCs w:val="18"/>
              </w:rPr>
              <w:t xml:space="preserve"> Do Brasil, Ltda.</w:t>
            </w:r>
          </w:p>
          <w:p w:rsidR="009F43FC" w:rsidRPr="009F43FC" w:rsidRDefault="009F43FC" w:rsidP="009F43FC">
            <w:pPr>
              <w:spacing w:after="20" w:line="240" w:lineRule="auto"/>
              <w:ind w:firstLine="288"/>
              <w:rPr>
                <w:rFonts w:ascii="Times New Roman" w:hAnsi="Times New Roman"/>
                <w:sz w:val="18"/>
                <w:szCs w:val="18"/>
              </w:rPr>
            </w:pPr>
            <w:r w:rsidRPr="009F43FC">
              <w:rPr>
                <w:rFonts w:ascii="Arial" w:hAnsi="Arial" w:cs="Arial"/>
                <w:sz w:val="18"/>
                <w:szCs w:val="18"/>
              </w:rPr>
              <w:t>Av. Paulista 37-14</w:t>
            </w:r>
          </w:p>
          <w:p w:rsidR="009F43FC" w:rsidRPr="009F43FC" w:rsidRDefault="009F43FC" w:rsidP="009F43FC">
            <w:pPr>
              <w:spacing w:after="20" w:line="240" w:lineRule="auto"/>
              <w:ind w:firstLine="288"/>
              <w:rPr>
                <w:rFonts w:ascii="Times New Roman" w:hAnsi="Times New Roman"/>
                <w:sz w:val="18"/>
                <w:szCs w:val="18"/>
              </w:rPr>
            </w:pPr>
            <w:r w:rsidRPr="009F43FC">
              <w:rPr>
                <w:rFonts w:ascii="Arial" w:hAnsi="Arial" w:cs="Arial"/>
                <w:sz w:val="18"/>
                <w:szCs w:val="18"/>
              </w:rPr>
              <w:t>Paraíso</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sz w:val="18"/>
                <w:szCs w:val="18"/>
              </w:rPr>
              <w:t>CEP 01311-902, São Paulo, Brasil</w:t>
            </w:r>
          </w:p>
          <w:p w:rsidR="009F43FC" w:rsidRPr="009F43FC" w:rsidRDefault="009F43FC" w:rsidP="009F43FC">
            <w:pPr>
              <w:spacing w:after="20" w:line="240" w:lineRule="auto"/>
              <w:ind w:firstLine="288"/>
              <w:rPr>
                <w:rFonts w:ascii="Times New Roman" w:hAnsi="Times New Roman"/>
                <w:sz w:val="18"/>
                <w:szCs w:val="18"/>
                <w:lang w:val="en-US"/>
              </w:rPr>
            </w:pPr>
            <w:r w:rsidRPr="009F43FC">
              <w:rPr>
                <w:rFonts w:ascii="Arial" w:hAnsi="Arial" w:cs="Arial"/>
                <w:sz w:val="18"/>
                <w:szCs w:val="18"/>
                <w:lang w:val="en-US"/>
              </w:rPr>
              <w:t>Perez Trading Company, Inc.</w:t>
            </w:r>
          </w:p>
          <w:p w:rsidR="009F43FC" w:rsidRPr="009F43FC" w:rsidRDefault="009F43FC" w:rsidP="009F43FC">
            <w:pPr>
              <w:spacing w:after="20" w:line="240" w:lineRule="auto"/>
              <w:ind w:firstLine="288"/>
              <w:rPr>
                <w:rFonts w:ascii="Times New Roman" w:hAnsi="Times New Roman"/>
                <w:sz w:val="18"/>
                <w:szCs w:val="18"/>
                <w:lang w:val="en-US"/>
              </w:rPr>
            </w:pPr>
            <w:r w:rsidRPr="009F43FC">
              <w:rPr>
                <w:rFonts w:ascii="Arial" w:hAnsi="Arial" w:cs="Arial"/>
                <w:sz w:val="18"/>
                <w:szCs w:val="18"/>
                <w:lang w:val="en-US"/>
              </w:rPr>
              <w:t>3490 NW 125th Street</w:t>
            </w:r>
          </w:p>
          <w:p w:rsidR="009F43FC" w:rsidRPr="009F43FC" w:rsidRDefault="009F43FC" w:rsidP="009F43FC">
            <w:pPr>
              <w:spacing w:after="20" w:line="240" w:lineRule="auto"/>
              <w:ind w:firstLine="288"/>
              <w:rPr>
                <w:rFonts w:ascii="Times New Roman" w:hAnsi="Times New Roman"/>
                <w:sz w:val="18"/>
                <w:szCs w:val="18"/>
                <w:lang w:val="en-US"/>
              </w:rPr>
            </w:pPr>
            <w:r w:rsidRPr="009F43FC">
              <w:rPr>
                <w:rFonts w:ascii="Arial" w:hAnsi="Arial" w:cs="Arial"/>
                <w:sz w:val="18"/>
                <w:szCs w:val="18"/>
                <w:lang w:val="en-US"/>
              </w:rPr>
              <w:t>Miami City</w:t>
            </w:r>
          </w:p>
          <w:p w:rsidR="009F43FC" w:rsidRPr="009F43FC" w:rsidRDefault="009F43FC" w:rsidP="009F43FC">
            <w:pPr>
              <w:spacing w:after="101" w:line="240" w:lineRule="auto"/>
              <w:ind w:firstLine="288"/>
              <w:rPr>
                <w:rFonts w:ascii="Times New Roman" w:hAnsi="Times New Roman"/>
                <w:sz w:val="18"/>
                <w:szCs w:val="18"/>
                <w:lang w:val="en-US"/>
              </w:rPr>
            </w:pPr>
            <w:r w:rsidRPr="009F43FC">
              <w:rPr>
                <w:rFonts w:ascii="Arial" w:hAnsi="Arial" w:cs="Arial"/>
                <w:sz w:val="18"/>
                <w:szCs w:val="18"/>
                <w:lang w:val="en-US"/>
              </w:rPr>
              <w:t>Zip Code 33167, Florida, United States</w:t>
            </w:r>
          </w:p>
          <w:p w:rsidR="009F43FC" w:rsidRPr="009F43FC" w:rsidRDefault="009F43FC" w:rsidP="009F43FC">
            <w:pPr>
              <w:spacing w:after="20" w:line="240" w:lineRule="auto"/>
              <w:ind w:firstLine="288"/>
              <w:rPr>
                <w:rFonts w:ascii="Times New Roman" w:hAnsi="Times New Roman"/>
                <w:sz w:val="18"/>
                <w:szCs w:val="18"/>
              </w:rPr>
            </w:pPr>
            <w:r w:rsidRPr="009F43FC">
              <w:rPr>
                <w:rFonts w:ascii="Arial" w:hAnsi="Arial" w:cs="Arial"/>
                <w:sz w:val="18"/>
                <w:szCs w:val="18"/>
              </w:rPr>
              <w:t xml:space="preserve">Suzano Papel e </w:t>
            </w:r>
            <w:proofErr w:type="spellStart"/>
            <w:r w:rsidRPr="009F43FC">
              <w:rPr>
                <w:rFonts w:ascii="Arial" w:hAnsi="Arial" w:cs="Arial"/>
                <w:sz w:val="18"/>
                <w:szCs w:val="18"/>
              </w:rPr>
              <w:t>Celulose</w:t>
            </w:r>
            <w:proofErr w:type="spellEnd"/>
            <w:r w:rsidRPr="009F43FC">
              <w:rPr>
                <w:rFonts w:ascii="Arial" w:hAnsi="Arial" w:cs="Arial"/>
                <w:sz w:val="18"/>
                <w:szCs w:val="18"/>
              </w:rPr>
              <w:t>, S.A.</w:t>
            </w:r>
          </w:p>
          <w:p w:rsidR="009F43FC" w:rsidRPr="009F43FC" w:rsidRDefault="009F43FC" w:rsidP="009F43FC">
            <w:pPr>
              <w:spacing w:after="20" w:line="240" w:lineRule="auto"/>
              <w:ind w:firstLine="288"/>
              <w:rPr>
                <w:rFonts w:ascii="Times New Roman" w:hAnsi="Times New Roman"/>
                <w:sz w:val="18"/>
                <w:szCs w:val="18"/>
              </w:rPr>
            </w:pPr>
            <w:r w:rsidRPr="009F43FC">
              <w:rPr>
                <w:rFonts w:ascii="Arial" w:hAnsi="Arial" w:cs="Arial"/>
                <w:sz w:val="18"/>
                <w:szCs w:val="18"/>
              </w:rPr>
              <w:t xml:space="preserve">Av. </w:t>
            </w:r>
            <w:proofErr w:type="spellStart"/>
            <w:r w:rsidRPr="009F43FC">
              <w:rPr>
                <w:rFonts w:ascii="Arial" w:hAnsi="Arial" w:cs="Arial"/>
                <w:sz w:val="18"/>
                <w:szCs w:val="18"/>
              </w:rPr>
              <w:t>Professor</w:t>
            </w:r>
            <w:proofErr w:type="spellEnd"/>
            <w:r w:rsidRPr="009F43FC">
              <w:rPr>
                <w:rFonts w:ascii="Arial" w:hAnsi="Arial" w:cs="Arial"/>
                <w:sz w:val="18"/>
                <w:szCs w:val="18"/>
              </w:rPr>
              <w:t xml:space="preserve"> </w:t>
            </w:r>
            <w:proofErr w:type="spellStart"/>
            <w:r w:rsidRPr="009F43FC">
              <w:rPr>
                <w:rFonts w:ascii="Arial" w:hAnsi="Arial" w:cs="Arial"/>
                <w:sz w:val="18"/>
                <w:szCs w:val="18"/>
              </w:rPr>
              <w:t>Magalhães</w:t>
            </w:r>
            <w:proofErr w:type="spellEnd"/>
            <w:r w:rsidRPr="009F43FC">
              <w:rPr>
                <w:rFonts w:ascii="Arial" w:hAnsi="Arial" w:cs="Arial"/>
                <w:sz w:val="18"/>
                <w:szCs w:val="18"/>
              </w:rPr>
              <w:t xml:space="preserve"> Neto 1752, 10° andar salas 1010 e 1011</w:t>
            </w:r>
          </w:p>
          <w:p w:rsidR="009F43FC" w:rsidRPr="009F43FC" w:rsidRDefault="009F43FC" w:rsidP="009F43FC">
            <w:pPr>
              <w:spacing w:after="20" w:line="240" w:lineRule="auto"/>
              <w:ind w:firstLine="288"/>
              <w:rPr>
                <w:rFonts w:ascii="Times New Roman" w:hAnsi="Times New Roman"/>
                <w:sz w:val="18"/>
                <w:szCs w:val="18"/>
              </w:rPr>
            </w:pPr>
            <w:proofErr w:type="spellStart"/>
            <w:r w:rsidRPr="009F43FC">
              <w:rPr>
                <w:rFonts w:ascii="Arial" w:hAnsi="Arial" w:cs="Arial"/>
                <w:sz w:val="18"/>
                <w:szCs w:val="18"/>
              </w:rPr>
              <w:t>Bairro</w:t>
            </w:r>
            <w:proofErr w:type="spellEnd"/>
            <w:r w:rsidRPr="009F43FC">
              <w:rPr>
                <w:rFonts w:ascii="Arial" w:hAnsi="Arial" w:cs="Arial"/>
                <w:sz w:val="18"/>
                <w:szCs w:val="18"/>
              </w:rPr>
              <w:t xml:space="preserve"> </w:t>
            </w:r>
            <w:proofErr w:type="spellStart"/>
            <w:r w:rsidRPr="009F43FC">
              <w:rPr>
                <w:rFonts w:ascii="Arial" w:hAnsi="Arial" w:cs="Arial"/>
                <w:sz w:val="18"/>
                <w:szCs w:val="18"/>
              </w:rPr>
              <w:t>Pituba</w:t>
            </w:r>
            <w:proofErr w:type="spellEnd"/>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sz w:val="18"/>
                <w:szCs w:val="18"/>
              </w:rPr>
              <w:t>CEP 41810-012, Salvador, Brasil</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3. Gobierno</w:t>
            </w:r>
          </w:p>
          <w:p w:rsidR="009F43FC" w:rsidRPr="009F43FC" w:rsidRDefault="009F43FC" w:rsidP="009F43FC">
            <w:pPr>
              <w:spacing w:after="20" w:line="240" w:lineRule="auto"/>
              <w:ind w:firstLine="288"/>
              <w:rPr>
                <w:rFonts w:ascii="Times New Roman" w:hAnsi="Times New Roman"/>
                <w:sz w:val="18"/>
                <w:szCs w:val="18"/>
              </w:rPr>
            </w:pPr>
            <w:r w:rsidRPr="009F43FC">
              <w:rPr>
                <w:rFonts w:ascii="Arial" w:hAnsi="Arial" w:cs="Arial"/>
                <w:sz w:val="18"/>
                <w:szCs w:val="18"/>
              </w:rPr>
              <w:t>Embajada de Brasil en México</w:t>
            </w:r>
          </w:p>
          <w:p w:rsidR="009F43FC" w:rsidRPr="009F43FC" w:rsidRDefault="009F43FC" w:rsidP="009F43FC">
            <w:pPr>
              <w:spacing w:after="20" w:line="240" w:lineRule="auto"/>
              <w:ind w:firstLine="288"/>
              <w:rPr>
                <w:rFonts w:ascii="Times New Roman" w:hAnsi="Times New Roman"/>
                <w:sz w:val="18"/>
                <w:szCs w:val="18"/>
              </w:rPr>
            </w:pPr>
            <w:r w:rsidRPr="009F43FC">
              <w:rPr>
                <w:rFonts w:ascii="Arial" w:hAnsi="Arial" w:cs="Arial"/>
                <w:sz w:val="18"/>
                <w:szCs w:val="18"/>
              </w:rPr>
              <w:t>Lope de Armendáriz No. 130</w:t>
            </w:r>
          </w:p>
          <w:p w:rsidR="009F43FC" w:rsidRPr="009F43FC" w:rsidRDefault="009F43FC" w:rsidP="009F43FC">
            <w:pPr>
              <w:spacing w:after="20" w:line="240" w:lineRule="auto"/>
              <w:ind w:firstLine="288"/>
              <w:rPr>
                <w:rFonts w:ascii="Times New Roman" w:hAnsi="Times New Roman"/>
                <w:sz w:val="18"/>
                <w:szCs w:val="18"/>
              </w:rPr>
            </w:pPr>
            <w:r w:rsidRPr="009F43FC">
              <w:rPr>
                <w:rFonts w:ascii="Arial" w:hAnsi="Arial" w:cs="Arial"/>
                <w:sz w:val="18"/>
                <w:szCs w:val="18"/>
              </w:rPr>
              <w:t>Col. Lomas Virreyes</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sz w:val="18"/>
                <w:szCs w:val="18"/>
              </w:rPr>
              <w:t>C.P. 11000, Ciudad de México</w:t>
            </w:r>
          </w:p>
          <w:p w:rsidR="009F43FC" w:rsidRPr="009F43FC" w:rsidRDefault="009F43FC" w:rsidP="009F43FC">
            <w:pPr>
              <w:spacing w:after="101" w:line="240" w:lineRule="auto"/>
              <w:jc w:val="center"/>
              <w:rPr>
                <w:rFonts w:ascii="Times New Roman" w:hAnsi="Times New Roman"/>
                <w:b/>
                <w:sz w:val="18"/>
                <w:szCs w:val="18"/>
              </w:rPr>
            </w:pPr>
            <w:r w:rsidRPr="009F43FC">
              <w:rPr>
                <w:rFonts w:ascii="Times" w:hAnsi="Times" w:cs="Times"/>
                <w:b/>
                <w:sz w:val="18"/>
                <w:szCs w:val="18"/>
              </w:rPr>
              <w:t>CONSIDERANDOS</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A. Competencia</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13.</w:t>
            </w:r>
            <w:r w:rsidRPr="009F43FC">
              <w:rPr>
                <w:rFonts w:ascii="Arial" w:hAnsi="Arial" w:cs="Arial"/>
                <w:sz w:val="18"/>
                <w:szCs w:val="18"/>
              </w:rPr>
              <w:t xml:space="preserve">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B. Legislación aplicable</w:t>
            </w:r>
          </w:p>
          <w:p w:rsidR="009F43FC" w:rsidRPr="009F43FC" w:rsidRDefault="009F43FC" w:rsidP="009F43FC">
            <w:pPr>
              <w:spacing w:after="101" w:line="240" w:lineRule="auto"/>
              <w:ind w:firstLine="288"/>
              <w:rPr>
                <w:rFonts w:ascii="Times New Roman" w:hAnsi="Times New Roman"/>
                <w:sz w:val="18"/>
                <w:szCs w:val="18"/>
              </w:rPr>
            </w:pPr>
            <w:r w:rsidRPr="009F43FC">
              <w:rPr>
                <w:rFonts w:ascii="Times New Roman" w:hAnsi="Times New Roman"/>
                <w:sz w:val="18"/>
                <w:szCs w:val="18"/>
              </w:rPr>
              <w:t> </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 xml:space="preserve">14. </w:t>
            </w:r>
            <w:r w:rsidRPr="009F43FC">
              <w:rPr>
                <w:rFonts w:ascii="Arial" w:hAnsi="Arial" w:cs="Arial"/>
                <w:sz w:val="18"/>
                <w:szCs w:val="18"/>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C. Protección de la información confidencial</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15.</w:t>
            </w:r>
            <w:r w:rsidRPr="009F43FC">
              <w:rPr>
                <w:rFonts w:ascii="Arial" w:hAnsi="Arial" w:cs="Arial"/>
                <w:sz w:val="18"/>
                <w:szCs w:val="18"/>
              </w:rPr>
              <w:t xml:space="preserve">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D. Legitimación para el inicio del examen de vigencia de cuota</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16.</w:t>
            </w:r>
            <w:r w:rsidRPr="009F43FC">
              <w:rPr>
                <w:rFonts w:ascii="Arial" w:hAnsi="Arial" w:cs="Arial"/>
                <w:sz w:val="18"/>
                <w:szCs w:val="18"/>
              </w:rPr>
              <w:t xml:space="preserve">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 xml:space="preserve">17. </w:t>
            </w:r>
            <w:r w:rsidRPr="009F43FC">
              <w:rPr>
                <w:rFonts w:ascii="Arial" w:hAnsi="Arial" w:cs="Arial"/>
                <w:sz w:val="18"/>
                <w:szCs w:val="18"/>
              </w:rPr>
              <w:t xml:space="preserve">En el presente caso, Scribe y </w:t>
            </w:r>
            <w:proofErr w:type="spellStart"/>
            <w:r w:rsidRPr="009F43FC">
              <w:rPr>
                <w:rFonts w:ascii="Arial" w:hAnsi="Arial" w:cs="Arial"/>
                <w:sz w:val="18"/>
                <w:szCs w:val="18"/>
              </w:rPr>
              <w:t>Pondercel</w:t>
            </w:r>
            <w:proofErr w:type="spellEnd"/>
            <w:r w:rsidRPr="009F43FC">
              <w:rPr>
                <w:rFonts w:ascii="Arial" w:hAnsi="Arial" w:cs="Arial"/>
                <w:sz w:val="18"/>
                <w:szCs w:val="18"/>
              </w:rPr>
              <w:t>, en su calidad de productores nacionales del producto objeto de examen, manifestaron en tiempo y forma su interés en que se inicie el examen de vigencia de la cuota compensatoria definitiva impuesta a las importaciones de papel bond cortado originarias de Brasil, por lo que se actualizan los supuestos previstos en la legislación de la materia y, en consecuencia, procede iniciarlo.</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E. Periodo de examen y de análisis</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18.</w:t>
            </w:r>
            <w:r w:rsidRPr="009F43FC">
              <w:rPr>
                <w:rFonts w:ascii="Arial" w:hAnsi="Arial" w:cs="Arial"/>
                <w:sz w:val="18"/>
                <w:szCs w:val="18"/>
              </w:rPr>
              <w:t xml:space="preserve"> La Secretaría determina fijar como periodo de examen el propuesto por Scribe y </w:t>
            </w:r>
            <w:proofErr w:type="spellStart"/>
            <w:r w:rsidRPr="009F43FC">
              <w:rPr>
                <w:rFonts w:ascii="Arial" w:hAnsi="Arial" w:cs="Arial"/>
                <w:sz w:val="18"/>
                <w:szCs w:val="18"/>
              </w:rPr>
              <w:t>Pondercel</w:t>
            </w:r>
            <w:proofErr w:type="spellEnd"/>
            <w:r w:rsidRPr="009F43FC">
              <w:rPr>
                <w:rFonts w:ascii="Arial" w:hAnsi="Arial" w:cs="Arial"/>
                <w:sz w:val="18"/>
                <w:szCs w:val="18"/>
              </w:rPr>
              <w:t>, comprendido del 1 de enero al 31 de diciembre de 2017 y como periodo de análisis el comprendido del 1 de enero de 2013 al 31 de diciembre de 2017, toda vez que éste se apega a lo previsto en el artículo 76 del RLCE y a la recomendación del Comité de Prácticas Antidumping de la Organización Mundial del Comercio (documento G/ADP/6 adoptado el 5 de mayo de 2000).</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19.</w:t>
            </w:r>
            <w:r w:rsidRPr="009F43FC">
              <w:rPr>
                <w:rFonts w:ascii="Arial" w:hAnsi="Arial" w:cs="Arial"/>
                <w:sz w:val="18"/>
                <w:szCs w:val="18"/>
              </w:rPr>
              <w:t xml:space="preserve"> Por lo expuesto, con fundamento en los artículos 11.1 y 11.3 del Acuerdo Antidumping, y 67, 70 fracción II, 70 B y 89 F de la LCE, se emite la siguiente</w:t>
            </w:r>
          </w:p>
          <w:p w:rsidR="009F43FC" w:rsidRPr="009F43FC" w:rsidRDefault="009F43FC" w:rsidP="009F43FC">
            <w:pPr>
              <w:spacing w:after="101" w:line="240" w:lineRule="auto"/>
              <w:jc w:val="center"/>
              <w:rPr>
                <w:rFonts w:ascii="Times New Roman" w:hAnsi="Times New Roman"/>
                <w:b/>
                <w:sz w:val="18"/>
                <w:szCs w:val="18"/>
              </w:rPr>
            </w:pPr>
            <w:r w:rsidRPr="009F43FC">
              <w:rPr>
                <w:rFonts w:ascii="Times" w:hAnsi="Times" w:cs="Times"/>
                <w:b/>
                <w:sz w:val="18"/>
                <w:szCs w:val="18"/>
              </w:rPr>
              <w:t>RESOLUCIÓN</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 xml:space="preserve">20. </w:t>
            </w:r>
            <w:r w:rsidRPr="009F43FC">
              <w:rPr>
                <w:rFonts w:ascii="Arial" w:hAnsi="Arial" w:cs="Arial"/>
                <w:sz w:val="18"/>
                <w:szCs w:val="18"/>
              </w:rPr>
              <w:t>Se declara el inicio del examen de vigencia de la cuota compensatoria definitiva impuesta a las importaciones de papel bond cortado originarias de Brasil, independientemente del país de procedencia, que ingresan a través de las fracciones arancelarias 4802.56.01 y 4823.90.99 de la TIGIE, o por cualquier otra.</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 xml:space="preserve">21. </w:t>
            </w:r>
            <w:r w:rsidRPr="009F43FC">
              <w:rPr>
                <w:rFonts w:ascii="Arial" w:hAnsi="Arial" w:cs="Arial"/>
                <w:sz w:val="18"/>
                <w:szCs w:val="18"/>
              </w:rPr>
              <w:t>Se fija como periodo de examen el comprendido del 1 de enero al 31 de diciembre de 2017 y como periodo de análisis el comprendido del 1 de enero de 2013 al 31 de diciembre de 2017.</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 xml:space="preserve">22. </w:t>
            </w:r>
            <w:r w:rsidRPr="009F43FC">
              <w:rPr>
                <w:rFonts w:ascii="Arial" w:hAnsi="Arial" w:cs="Arial"/>
                <w:sz w:val="18"/>
                <w:szCs w:val="18"/>
              </w:rPr>
              <w:t>Conforme a lo establecido en los artículos 11.3 del Acuerdo Antidumping, 70 fracción II y 89 F de la LCE y 94 del RLCE, la cuota compensatoria definitiva a que se refiere el punto 1 de la presente Resolución, continuará vigente mientras se tramita el presente procedimiento de examen de vigencia.</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 xml:space="preserve">23. </w:t>
            </w:r>
            <w:r w:rsidRPr="009F43FC">
              <w:rPr>
                <w:rFonts w:ascii="Arial" w:hAnsi="Arial" w:cs="Arial"/>
                <w:sz w:val="18"/>
                <w:szCs w:val="18"/>
              </w:rPr>
              <w:t>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28 días hábiles para acreditar su interés jurídico y presentar la respuesta al formulario oficial establecido para tal efecto, y los argumentos y las pruebas que consideren convenientes. El plazo de 28 días hábiles se contará a partir del día siguiente de la publicación en el DOF de la presente Resolución y concluirá a las 14:00 horas del día de su vencimiento.</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 xml:space="preserve">24. </w:t>
            </w:r>
            <w:r w:rsidRPr="009F43FC">
              <w:rPr>
                <w:rFonts w:ascii="Arial" w:hAnsi="Arial" w:cs="Arial"/>
                <w:sz w:val="18"/>
                <w:szCs w:val="18"/>
              </w:rPr>
              <w:t>El formulario oficial a que se refiere el punto anterior, se podrá obtener en la oficialía de partes de la UPCI, sita en Insurgentes Sur 1940, planta baja, colonia Florida, código postal 01030, en la Ciudad de México, de lunes a viernes de 9:00 a 14:00 horas o en la página de Internet de la Secretaría.</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 xml:space="preserve">25. </w:t>
            </w:r>
            <w:r w:rsidRPr="009F43FC">
              <w:rPr>
                <w:rFonts w:ascii="Arial" w:hAnsi="Arial" w:cs="Arial"/>
                <w:sz w:val="18"/>
                <w:szCs w:val="18"/>
              </w:rPr>
              <w:t>Notifíquese la presente Resolución a las posibles partes interesadas de que se tenga conocimiento.</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 xml:space="preserve">26. </w:t>
            </w:r>
            <w:r w:rsidRPr="009F43FC">
              <w:rPr>
                <w:rFonts w:ascii="Arial" w:hAnsi="Arial" w:cs="Arial"/>
                <w:sz w:val="18"/>
                <w:szCs w:val="18"/>
              </w:rPr>
              <w:t>Comuníquese esta Resolución al Servicio de Administración Tributaria, para los efectos legales correspondientes.</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b/>
                <w:bCs/>
                <w:sz w:val="18"/>
                <w:szCs w:val="18"/>
              </w:rPr>
              <w:t xml:space="preserve">27. </w:t>
            </w:r>
            <w:r w:rsidRPr="009F43FC">
              <w:rPr>
                <w:rFonts w:ascii="Arial" w:hAnsi="Arial" w:cs="Arial"/>
                <w:sz w:val="18"/>
                <w:szCs w:val="18"/>
              </w:rPr>
              <w:t>La presente Resolución entrará en vigor al día siguiente de su publicación en el DOF.</w:t>
            </w:r>
          </w:p>
          <w:p w:rsidR="009F43FC" w:rsidRPr="009F43FC" w:rsidRDefault="009F43FC" w:rsidP="009F43FC">
            <w:pPr>
              <w:spacing w:after="101" w:line="240" w:lineRule="auto"/>
              <w:ind w:firstLine="288"/>
              <w:rPr>
                <w:rFonts w:ascii="Times New Roman" w:hAnsi="Times New Roman"/>
                <w:sz w:val="18"/>
                <w:szCs w:val="18"/>
              </w:rPr>
            </w:pPr>
            <w:r w:rsidRPr="009F43FC">
              <w:rPr>
                <w:rFonts w:ascii="Arial" w:hAnsi="Arial" w:cs="Arial"/>
                <w:sz w:val="18"/>
                <w:szCs w:val="18"/>
              </w:rPr>
              <w:t xml:space="preserve">Ciudad de México, a 22 de febrero de 2018.- El Secretario de Economía, </w:t>
            </w:r>
            <w:r w:rsidRPr="009F43FC">
              <w:rPr>
                <w:rFonts w:ascii="Arial" w:hAnsi="Arial" w:cs="Arial"/>
                <w:b/>
                <w:bCs/>
                <w:sz w:val="18"/>
                <w:szCs w:val="18"/>
              </w:rPr>
              <w:t xml:space="preserve">Ildefonso Guajardo </w:t>
            </w:r>
            <w:proofErr w:type="gramStart"/>
            <w:r w:rsidRPr="009F43FC">
              <w:rPr>
                <w:rFonts w:ascii="Arial" w:hAnsi="Arial" w:cs="Arial"/>
                <w:b/>
                <w:bCs/>
                <w:sz w:val="18"/>
                <w:szCs w:val="18"/>
              </w:rPr>
              <w:t>Villarreal</w:t>
            </w:r>
            <w:r w:rsidRPr="009F43FC">
              <w:rPr>
                <w:rFonts w:ascii="Arial" w:hAnsi="Arial" w:cs="Arial"/>
                <w:sz w:val="18"/>
                <w:szCs w:val="18"/>
              </w:rPr>
              <w:t>.-</w:t>
            </w:r>
            <w:proofErr w:type="gramEnd"/>
            <w:r w:rsidRPr="009F43FC">
              <w:rPr>
                <w:rFonts w:ascii="Arial" w:hAnsi="Arial" w:cs="Arial"/>
                <w:sz w:val="18"/>
                <w:szCs w:val="18"/>
              </w:rPr>
              <w:t xml:space="preserve"> Rúbrica.</w:t>
            </w:r>
          </w:p>
          <w:p w:rsidR="009F43FC" w:rsidRPr="009F43FC" w:rsidRDefault="009F43FC" w:rsidP="009F43FC">
            <w:pPr>
              <w:spacing w:after="101" w:line="240" w:lineRule="auto"/>
              <w:ind w:firstLine="288"/>
              <w:rPr>
                <w:rFonts w:ascii="Times New Roman" w:hAnsi="Times New Roman"/>
                <w:sz w:val="18"/>
                <w:szCs w:val="18"/>
              </w:rPr>
            </w:pPr>
            <w:r w:rsidRPr="009F43FC">
              <w:rPr>
                <w:rFonts w:ascii="Times New Roman" w:hAnsi="Times New Roman"/>
                <w:sz w:val="18"/>
                <w:szCs w:val="18"/>
              </w:rPr>
              <w:t> </w:t>
            </w:r>
          </w:p>
          <w:p w:rsidR="009F43FC" w:rsidRPr="009F43FC" w:rsidRDefault="009F43FC" w:rsidP="009F43FC">
            <w:pPr>
              <w:spacing w:after="101" w:line="240" w:lineRule="auto"/>
              <w:ind w:firstLine="288"/>
              <w:rPr>
                <w:rFonts w:ascii="Times New Roman" w:hAnsi="Times New Roman"/>
                <w:sz w:val="18"/>
                <w:szCs w:val="18"/>
              </w:rPr>
            </w:pPr>
            <w:r w:rsidRPr="009F43FC">
              <w:rPr>
                <w:rFonts w:ascii="Times New Roman" w:hAnsi="Times New Roman"/>
                <w:sz w:val="18"/>
                <w:szCs w:val="18"/>
              </w:rPr>
              <w:t> </w:t>
            </w:r>
          </w:p>
          <w:p w:rsidR="009F43FC" w:rsidRPr="009F43FC" w:rsidRDefault="009F43FC" w:rsidP="009F43FC">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9F43FC" w:rsidRPr="009F43FC" w:rsidTr="009F43FC">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F43FC" w:rsidRPr="009F43FC" w:rsidRDefault="009F43FC" w:rsidP="009F43FC">
                  <w:pPr>
                    <w:spacing w:after="0" w:line="240" w:lineRule="auto"/>
                    <w:rPr>
                      <w:rFonts w:ascii="Times New Roman" w:hAnsi="Times New Roman"/>
                      <w:sz w:val="17"/>
                      <w:szCs w:val="17"/>
                    </w:rPr>
                  </w:pPr>
                  <w:r w:rsidRPr="009F43FC">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9F43FC" w:rsidRPr="009F43FC" w:rsidRDefault="009F43FC" w:rsidP="009F43FC">
            <w:pPr>
              <w:spacing w:after="0" w:line="240" w:lineRule="auto"/>
              <w:rPr>
                <w:rFonts w:ascii="Times New Roman" w:hAnsi="Times New Roman"/>
                <w:sz w:val="18"/>
                <w:szCs w:val="18"/>
              </w:rPr>
            </w:pPr>
          </w:p>
        </w:tc>
      </w:tr>
      <w:tr w:rsidR="009F43FC" w:rsidRPr="009F43FC" w:rsidTr="009F43FC">
        <w:trPr>
          <w:tblCellSpacing w:w="0" w:type="dxa"/>
          <w:jc w:val="center"/>
        </w:trPr>
        <w:tc>
          <w:tcPr>
            <w:tcW w:w="0" w:type="auto"/>
            <w:vAlign w:val="center"/>
            <w:hideMark/>
          </w:tcPr>
          <w:p w:rsidR="009F43FC" w:rsidRPr="009F43FC" w:rsidRDefault="009F43FC" w:rsidP="009F43FC">
            <w:pPr>
              <w:spacing w:after="0" w:line="240" w:lineRule="auto"/>
              <w:rPr>
                <w:rFonts w:ascii="Times New Roman" w:hAnsi="Times New Roman"/>
                <w:sz w:val="24"/>
                <w:szCs w:val="24"/>
              </w:rPr>
            </w:pPr>
            <w:r w:rsidRPr="009F43FC">
              <w:rPr>
                <w:rFonts w:ascii="Times New Roman" w:hAnsi="Times New Roman"/>
                <w:sz w:val="24"/>
                <w:szCs w:val="24"/>
              </w:rPr>
              <w:t> </w:t>
            </w:r>
          </w:p>
        </w:tc>
      </w:tr>
    </w:tbl>
    <w:p w:rsidR="009F43FC" w:rsidRDefault="009F43FC" w:rsidP="00B2520D">
      <w:pPr>
        <w:pStyle w:val="Titulo2"/>
        <w:spacing w:after="0"/>
        <w:contextualSpacing/>
        <w:rPr>
          <w:b/>
          <w:sz w:val="20"/>
        </w:rPr>
      </w:pPr>
    </w:p>
    <w:sectPr w:rsidR="009F43FC" w:rsidSect="009F43FC">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4945DA"/>
    <w:rsid w:val="007A6989"/>
    <w:rsid w:val="009B259C"/>
    <w:rsid w:val="009F43FC"/>
    <w:rsid w:val="009F564D"/>
    <w:rsid w:val="00B2520D"/>
    <w:rsid w:val="00F56CC3"/>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A6A9"/>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paragraph" w:styleId="Ttulo1">
    <w:name w:val="heading 1"/>
    <w:basedOn w:val="Normal"/>
    <w:link w:val="Ttulo1Car"/>
    <w:uiPriority w:val="9"/>
    <w:qFormat/>
    <w:rsid w:val="009F43FC"/>
    <w:pPr>
      <w:spacing w:before="100" w:beforeAutospacing="1" w:after="100" w:afterAutospacing="1" w:line="240" w:lineRule="auto"/>
      <w:outlineLvl w:val="0"/>
    </w:pPr>
    <w:rPr>
      <w:rFonts w:ascii="Times New Roman" w:hAns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character" w:customStyle="1" w:styleId="Ttulo1Car">
    <w:name w:val="Título 1 Car"/>
    <w:basedOn w:val="Fuentedeprrafopredeter"/>
    <w:link w:val="Ttulo1"/>
    <w:uiPriority w:val="9"/>
    <w:rsid w:val="009F43FC"/>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33765906">
      <w:bodyDiv w:val="1"/>
      <w:marLeft w:val="0"/>
      <w:marRight w:val="0"/>
      <w:marTop w:val="0"/>
      <w:marBottom w:val="0"/>
      <w:divBdr>
        <w:top w:val="none" w:sz="0" w:space="0" w:color="auto"/>
        <w:left w:val="none" w:sz="0" w:space="0" w:color="auto"/>
        <w:bottom w:val="none" w:sz="0" w:space="0" w:color="auto"/>
        <w:right w:val="none" w:sz="0" w:space="0" w:color="auto"/>
      </w:divBdr>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02048831">
      <w:bodyDiv w:val="1"/>
      <w:marLeft w:val="0"/>
      <w:marRight w:val="0"/>
      <w:marTop w:val="0"/>
      <w:marBottom w:val="0"/>
      <w:divBdr>
        <w:top w:val="none" w:sz="0" w:space="0" w:color="auto"/>
        <w:left w:val="none" w:sz="0" w:space="0" w:color="auto"/>
        <w:bottom w:val="none" w:sz="0" w:space="0" w:color="auto"/>
        <w:right w:val="none" w:sz="0" w:space="0" w:color="auto"/>
      </w:divBdr>
      <w:divsChild>
        <w:div w:id="1695424108">
          <w:marLeft w:val="0"/>
          <w:marRight w:val="0"/>
          <w:marTop w:val="0"/>
          <w:marBottom w:val="0"/>
          <w:divBdr>
            <w:top w:val="none" w:sz="0" w:space="0" w:color="auto"/>
            <w:left w:val="none" w:sz="0" w:space="0" w:color="auto"/>
            <w:bottom w:val="none" w:sz="0" w:space="0" w:color="auto"/>
            <w:right w:val="none" w:sz="0" w:space="0" w:color="auto"/>
          </w:divBdr>
          <w:divsChild>
            <w:div w:id="213006722">
              <w:marLeft w:val="0"/>
              <w:marRight w:val="0"/>
              <w:marTop w:val="0"/>
              <w:marBottom w:val="0"/>
              <w:divBdr>
                <w:top w:val="none" w:sz="0" w:space="0" w:color="auto"/>
                <w:left w:val="none" w:sz="0" w:space="0" w:color="auto"/>
                <w:bottom w:val="none" w:sz="0" w:space="0" w:color="auto"/>
                <w:right w:val="none" w:sz="0" w:space="0" w:color="auto"/>
              </w:divBdr>
              <w:divsChild>
                <w:div w:id="982126475">
                  <w:marLeft w:val="0"/>
                  <w:marRight w:val="0"/>
                  <w:marTop w:val="0"/>
                  <w:marBottom w:val="101"/>
                  <w:divBdr>
                    <w:top w:val="none" w:sz="0" w:space="0" w:color="auto"/>
                    <w:left w:val="none" w:sz="0" w:space="0" w:color="auto"/>
                    <w:bottom w:val="none" w:sz="0" w:space="0" w:color="auto"/>
                    <w:right w:val="none" w:sz="0" w:space="0" w:color="auto"/>
                  </w:divBdr>
                </w:div>
                <w:div w:id="1298874690">
                  <w:marLeft w:val="0"/>
                  <w:marRight w:val="0"/>
                  <w:marTop w:val="0"/>
                  <w:marBottom w:val="101"/>
                  <w:divBdr>
                    <w:top w:val="none" w:sz="0" w:space="0" w:color="auto"/>
                    <w:left w:val="none" w:sz="0" w:space="0" w:color="auto"/>
                    <w:bottom w:val="none" w:sz="0" w:space="0" w:color="auto"/>
                    <w:right w:val="none" w:sz="0" w:space="0" w:color="auto"/>
                  </w:divBdr>
                </w:div>
                <w:div w:id="236476763">
                  <w:marLeft w:val="0"/>
                  <w:marRight w:val="0"/>
                  <w:marTop w:val="101"/>
                  <w:marBottom w:val="101"/>
                  <w:divBdr>
                    <w:top w:val="none" w:sz="0" w:space="0" w:color="auto"/>
                    <w:left w:val="none" w:sz="0" w:space="0" w:color="auto"/>
                    <w:bottom w:val="none" w:sz="0" w:space="0" w:color="auto"/>
                    <w:right w:val="none" w:sz="0" w:space="0" w:color="auto"/>
                  </w:divBdr>
                </w:div>
                <w:div w:id="344332361">
                  <w:marLeft w:val="0"/>
                  <w:marRight w:val="0"/>
                  <w:marTop w:val="0"/>
                  <w:marBottom w:val="101"/>
                  <w:divBdr>
                    <w:top w:val="none" w:sz="0" w:space="0" w:color="auto"/>
                    <w:left w:val="none" w:sz="0" w:space="0" w:color="auto"/>
                    <w:bottom w:val="none" w:sz="0" w:space="0" w:color="auto"/>
                    <w:right w:val="none" w:sz="0" w:space="0" w:color="auto"/>
                  </w:divBdr>
                </w:div>
                <w:div w:id="752625596">
                  <w:marLeft w:val="0"/>
                  <w:marRight w:val="0"/>
                  <w:marTop w:val="0"/>
                  <w:marBottom w:val="101"/>
                  <w:divBdr>
                    <w:top w:val="none" w:sz="0" w:space="0" w:color="auto"/>
                    <w:left w:val="none" w:sz="0" w:space="0" w:color="auto"/>
                    <w:bottom w:val="none" w:sz="0" w:space="0" w:color="auto"/>
                    <w:right w:val="none" w:sz="0" w:space="0" w:color="auto"/>
                  </w:divBdr>
                </w:div>
                <w:div w:id="1555193592">
                  <w:marLeft w:val="0"/>
                  <w:marRight w:val="0"/>
                  <w:marTop w:val="0"/>
                  <w:marBottom w:val="101"/>
                  <w:divBdr>
                    <w:top w:val="none" w:sz="0" w:space="0" w:color="auto"/>
                    <w:left w:val="none" w:sz="0" w:space="0" w:color="auto"/>
                    <w:bottom w:val="none" w:sz="0" w:space="0" w:color="auto"/>
                    <w:right w:val="none" w:sz="0" w:space="0" w:color="auto"/>
                  </w:divBdr>
                </w:div>
                <w:div w:id="41878325">
                  <w:marLeft w:val="0"/>
                  <w:marRight w:val="0"/>
                  <w:marTop w:val="0"/>
                  <w:marBottom w:val="101"/>
                  <w:divBdr>
                    <w:top w:val="none" w:sz="0" w:space="0" w:color="auto"/>
                    <w:left w:val="none" w:sz="0" w:space="0" w:color="auto"/>
                    <w:bottom w:val="none" w:sz="0" w:space="0" w:color="auto"/>
                    <w:right w:val="none" w:sz="0" w:space="0" w:color="auto"/>
                  </w:divBdr>
                </w:div>
                <w:div w:id="207690109">
                  <w:marLeft w:val="0"/>
                  <w:marRight w:val="0"/>
                  <w:marTop w:val="0"/>
                  <w:marBottom w:val="101"/>
                  <w:divBdr>
                    <w:top w:val="none" w:sz="0" w:space="0" w:color="auto"/>
                    <w:left w:val="none" w:sz="0" w:space="0" w:color="auto"/>
                    <w:bottom w:val="none" w:sz="0" w:space="0" w:color="auto"/>
                    <w:right w:val="none" w:sz="0" w:space="0" w:color="auto"/>
                  </w:divBdr>
                </w:div>
                <w:div w:id="1600481838">
                  <w:marLeft w:val="0"/>
                  <w:marRight w:val="0"/>
                  <w:marTop w:val="0"/>
                  <w:marBottom w:val="101"/>
                  <w:divBdr>
                    <w:top w:val="none" w:sz="0" w:space="0" w:color="auto"/>
                    <w:left w:val="none" w:sz="0" w:space="0" w:color="auto"/>
                    <w:bottom w:val="none" w:sz="0" w:space="0" w:color="auto"/>
                    <w:right w:val="none" w:sz="0" w:space="0" w:color="auto"/>
                  </w:divBdr>
                </w:div>
                <w:div w:id="2139563795">
                  <w:marLeft w:val="0"/>
                  <w:marRight w:val="0"/>
                  <w:marTop w:val="0"/>
                  <w:marBottom w:val="101"/>
                  <w:divBdr>
                    <w:top w:val="none" w:sz="0" w:space="0" w:color="auto"/>
                    <w:left w:val="none" w:sz="0" w:space="0" w:color="auto"/>
                    <w:bottom w:val="none" w:sz="0" w:space="0" w:color="auto"/>
                    <w:right w:val="none" w:sz="0" w:space="0" w:color="auto"/>
                  </w:divBdr>
                </w:div>
                <w:div w:id="640579544">
                  <w:marLeft w:val="0"/>
                  <w:marRight w:val="0"/>
                  <w:marTop w:val="0"/>
                  <w:marBottom w:val="101"/>
                  <w:divBdr>
                    <w:top w:val="none" w:sz="0" w:space="0" w:color="auto"/>
                    <w:left w:val="none" w:sz="0" w:space="0" w:color="auto"/>
                    <w:bottom w:val="none" w:sz="0" w:space="0" w:color="auto"/>
                    <w:right w:val="none" w:sz="0" w:space="0" w:color="auto"/>
                  </w:divBdr>
                </w:div>
                <w:div w:id="1285383343">
                  <w:marLeft w:val="0"/>
                  <w:marRight w:val="0"/>
                  <w:marTop w:val="0"/>
                  <w:marBottom w:val="101"/>
                  <w:divBdr>
                    <w:top w:val="none" w:sz="0" w:space="0" w:color="auto"/>
                    <w:left w:val="none" w:sz="0" w:space="0" w:color="auto"/>
                    <w:bottom w:val="none" w:sz="0" w:space="0" w:color="auto"/>
                    <w:right w:val="none" w:sz="0" w:space="0" w:color="auto"/>
                  </w:divBdr>
                </w:div>
                <w:div w:id="1123962922">
                  <w:marLeft w:val="0"/>
                  <w:marRight w:val="0"/>
                  <w:marTop w:val="0"/>
                  <w:marBottom w:val="101"/>
                  <w:divBdr>
                    <w:top w:val="none" w:sz="0" w:space="0" w:color="auto"/>
                    <w:left w:val="none" w:sz="0" w:space="0" w:color="auto"/>
                    <w:bottom w:val="none" w:sz="0" w:space="0" w:color="auto"/>
                    <w:right w:val="none" w:sz="0" w:space="0" w:color="auto"/>
                  </w:divBdr>
                </w:div>
                <w:div w:id="2044090862">
                  <w:marLeft w:val="0"/>
                  <w:marRight w:val="0"/>
                  <w:marTop w:val="0"/>
                  <w:marBottom w:val="101"/>
                  <w:divBdr>
                    <w:top w:val="none" w:sz="0" w:space="0" w:color="auto"/>
                    <w:left w:val="none" w:sz="0" w:space="0" w:color="auto"/>
                    <w:bottom w:val="none" w:sz="0" w:space="0" w:color="auto"/>
                    <w:right w:val="none" w:sz="0" w:space="0" w:color="auto"/>
                  </w:divBdr>
                </w:div>
                <w:div w:id="533886662">
                  <w:marLeft w:val="0"/>
                  <w:marRight w:val="0"/>
                  <w:marTop w:val="0"/>
                  <w:marBottom w:val="101"/>
                  <w:divBdr>
                    <w:top w:val="none" w:sz="0" w:space="0" w:color="auto"/>
                    <w:left w:val="none" w:sz="0" w:space="0" w:color="auto"/>
                    <w:bottom w:val="none" w:sz="0" w:space="0" w:color="auto"/>
                    <w:right w:val="none" w:sz="0" w:space="0" w:color="auto"/>
                  </w:divBdr>
                </w:div>
                <w:div w:id="1119763578">
                  <w:marLeft w:val="0"/>
                  <w:marRight w:val="0"/>
                  <w:marTop w:val="0"/>
                  <w:marBottom w:val="101"/>
                  <w:divBdr>
                    <w:top w:val="none" w:sz="0" w:space="0" w:color="auto"/>
                    <w:left w:val="none" w:sz="0" w:space="0" w:color="auto"/>
                    <w:bottom w:val="none" w:sz="0" w:space="0" w:color="auto"/>
                    <w:right w:val="none" w:sz="0" w:space="0" w:color="auto"/>
                  </w:divBdr>
                </w:div>
                <w:div w:id="902328463">
                  <w:marLeft w:val="0"/>
                  <w:marRight w:val="0"/>
                  <w:marTop w:val="0"/>
                  <w:marBottom w:val="101"/>
                  <w:divBdr>
                    <w:top w:val="none" w:sz="0" w:space="0" w:color="auto"/>
                    <w:left w:val="none" w:sz="0" w:space="0" w:color="auto"/>
                    <w:bottom w:val="none" w:sz="0" w:space="0" w:color="auto"/>
                    <w:right w:val="none" w:sz="0" w:space="0" w:color="auto"/>
                  </w:divBdr>
                </w:div>
                <w:div w:id="2058118381">
                  <w:marLeft w:val="0"/>
                  <w:marRight w:val="0"/>
                  <w:marTop w:val="0"/>
                  <w:marBottom w:val="101"/>
                  <w:divBdr>
                    <w:top w:val="none" w:sz="0" w:space="0" w:color="auto"/>
                    <w:left w:val="none" w:sz="0" w:space="0" w:color="auto"/>
                    <w:bottom w:val="none" w:sz="0" w:space="0" w:color="auto"/>
                    <w:right w:val="none" w:sz="0" w:space="0" w:color="auto"/>
                  </w:divBdr>
                </w:div>
                <w:div w:id="1838182121">
                  <w:marLeft w:val="0"/>
                  <w:marRight w:val="0"/>
                  <w:marTop w:val="0"/>
                  <w:marBottom w:val="101"/>
                  <w:divBdr>
                    <w:top w:val="none" w:sz="0" w:space="0" w:color="auto"/>
                    <w:left w:val="none" w:sz="0" w:space="0" w:color="auto"/>
                    <w:bottom w:val="none" w:sz="0" w:space="0" w:color="auto"/>
                    <w:right w:val="none" w:sz="0" w:space="0" w:color="auto"/>
                  </w:divBdr>
                </w:div>
                <w:div w:id="282927826">
                  <w:marLeft w:val="0"/>
                  <w:marRight w:val="0"/>
                  <w:marTop w:val="0"/>
                  <w:marBottom w:val="101"/>
                  <w:divBdr>
                    <w:top w:val="none" w:sz="0" w:space="0" w:color="auto"/>
                    <w:left w:val="none" w:sz="0" w:space="0" w:color="auto"/>
                    <w:bottom w:val="none" w:sz="0" w:space="0" w:color="auto"/>
                    <w:right w:val="none" w:sz="0" w:space="0" w:color="auto"/>
                  </w:divBdr>
                </w:div>
                <w:div w:id="1382630632">
                  <w:marLeft w:val="0"/>
                  <w:marRight w:val="0"/>
                  <w:marTop w:val="0"/>
                  <w:marBottom w:val="101"/>
                  <w:divBdr>
                    <w:top w:val="none" w:sz="0" w:space="0" w:color="auto"/>
                    <w:left w:val="none" w:sz="0" w:space="0" w:color="auto"/>
                    <w:bottom w:val="none" w:sz="0" w:space="0" w:color="auto"/>
                    <w:right w:val="none" w:sz="0" w:space="0" w:color="auto"/>
                  </w:divBdr>
                </w:div>
                <w:div w:id="416289886">
                  <w:marLeft w:val="0"/>
                  <w:marRight w:val="0"/>
                  <w:marTop w:val="0"/>
                  <w:marBottom w:val="101"/>
                  <w:divBdr>
                    <w:top w:val="none" w:sz="0" w:space="0" w:color="auto"/>
                    <w:left w:val="none" w:sz="0" w:space="0" w:color="auto"/>
                    <w:bottom w:val="none" w:sz="0" w:space="0" w:color="auto"/>
                    <w:right w:val="none" w:sz="0" w:space="0" w:color="auto"/>
                  </w:divBdr>
                </w:div>
                <w:div w:id="1926112072">
                  <w:marLeft w:val="0"/>
                  <w:marRight w:val="0"/>
                  <w:marTop w:val="0"/>
                  <w:marBottom w:val="101"/>
                  <w:divBdr>
                    <w:top w:val="none" w:sz="0" w:space="0" w:color="auto"/>
                    <w:left w:val="none" w:sz="0" w:space="0" w:color="auto"/>
                    <w:bottom w:val="none" w:sz="0" w:space="0" w:color="auto"/>
                    <w:right w:val="none" w:sz="0" w:space="0" w:color="auto"/>
                  </w:divBdr>
                </w:div>
                <w:div w:id="100533097">
                  <w:marLeft w:val="0"/>
                  <w:marRight w:val="0"/>
                  <w:marTop w:val="0"/>
                  <w:marBottom w:val="101"/>
                  <w:divBdr>
                    <w:top w:val="none" w:sz="0" w:space="0" w:color="auto"/>
                    <w:left w:val="none" w:sz="0" w:space="0" w:color="auto"/>
                    <w:bottom w:val="none" w:sz="0" w:space="0" w:color="auto"/>
                    <w:right w:val="none" w:sz="0" w:space="0" w:color="auto"/>
                  </w:divBdr>
                </w:div>
                <w:div w:id="1385056870">
                  <w:marLeft w:val="0"/>
                  <w:marRight w:val="0"/>
                  <w:marTop w:val="0"/>
                  <w:marBottom w:val="101"/>
                  <w:divBdr>
                    <w:top w:val="none" w:sz="0" w:space="0" w:color="auto"/>
                    <w:left w:val="none" w:sz="0" w:space="0" w:color="auto"/>
                    <w:bottom w:val="none" w:sz="0" w:space="0" w:color="auto"/>
                    <w:right w:val="none" w:sz="0" w:space="0" w:color="auto"/>
                  </w:divBdr>
                </w:div>
                <w:div w:id="1444303247">
                  <w:marLeft w:val="0"/>
                  <w:marRight w:val="0"/>
                  <w:marTop w:val="0"/>
                  <w:marBottom w:val="101"/>
                  <w:divBdr>
                    <w:top w:val="none" w:sz="0" w:space="0" w:color="auto"/>
                    <w:left w:val="none" w:sz="0" w:space="0" w:color="auto"/>
                    <w:bottom w:val="none" w:sz="0" w:space="0" w:color="auto"/>
                    <w:right w:val="none" w:sz="0" w:space="0" w:color="auto"/>
                  </w:divBdr>
                </w:div>
                <w:div w:id="33779375">
                  <w:marLeft w:val="0"/>
                  <w:marRight w:val="0"/>
                  <w:marTop w:val="0"/>
                  <w:marBottom w:val="101"/>
                  <w:divBdr>
                    <w:top w:val="none" w:sz="0" w:space="0" w:color="auto"/>
                    <w:left w:val="none" w:sz="0" w:space="0" w:color="auto"/>
                    <w:bottom w:val="none" w:sz="0" w:space="0" w:color="auto"/>
                    <w:right w:val="none" w:sz="0" w:space="0" w:color="auto"/>
                  </w:divBdr>
                </w:div>
                <w:div w:id="1215392089">
                  <w:marLeft w:val="0"/>
                  <w:marRight w:val="0"/>
                  <w:marTop w:val="0"/>
                  <w:marBottom w:val="101"/>
                  <w:divBdr>
                    <w:top w:val="none" w:sz="0" w:space="0" w:color="auto"/>
                    <w:left w:val="none" w:sz="0" w:space="0" w:color="auto"/>
                    <w:bottom w:val="none" w:sz="0" w:space="0" w:color="auto"/>
                    <w:right w:val="none" w:sz="0" w:space="0" w:color="auto"/>
                  </w:divBdr>
                </w:div>
                <w:div w:id="567616482">
                  <w:marLeft w:val="0"/>
                  <w:marRight w:val="0"/>
                  <w:marTop w:val="0"/>
                  <w:marBottom w:val="101"/>
                  <w:divBdr>
                    <w:top w:val="none" w:sz="0" w:space="0" w:color="auto"/>
                    <w:left w:val="none" w:sz="0" w:space="0" w:color="auto"/>
                    <w:bottom w:val="none" w:sz="0" w:space="0" w:color="auto"/>
                    <w:right w:val="none" w:sz="0" w:space="0" w:color="auto"/>
                  </w:divBdr>
                </w:div>
                <w:div w:id="412431557">
                  <w:marLeft w:val="0"/>
                  <w:marRight w:val="0"/>
                  <w:marTop w:val="0"/>
                  <w:marBottom w:val="101"/>
                  <w:divBdr>
                    <w:top w:val="none" w:sz="0" w:space="0" w:color="auto"/>
                    <w:left w:val="none" w:sz="0" w:space="0" w:color="auto"/>
                    <w:bottom w:val="none" w:sz="0" w:space="0" w:color="auto"/>
                    <w:right w:val="none" w:sz="0" w:space="0" w:color="auto"/>
                  </w:divBdr>
                </w:div>
                <w:div w:id="1923835319">
                  <w:marLeft w:val="0"/>
                  <w:marRight w:val="0"/>
                  <w:marTop w:val="0"/>
                  <w:marBottom w:val="101"/>
                  <w:divBdr>
                    <w:top w:val="none" w:sz="0" w:space="0" w:color="auto"/>
                    <w:left w:val="none" w:sz="0" w:space="0" w:color="auto"/>
                    <w:bottom w:val="none" w:sz="0" w:space="0" w:color="auto"/>
                    <w:right w:val="none" w:sz="0" w:space="0" w:color="auto"/>
                  </w:divBdr>
                </w:div>
                <w:div w:id="1130172924">
                  <w:marLeft w:val="0"/>
                  <w:marRight w:val="0"/>
                  <w:marTop w:val="0"/>
                  <w:marBottom w:val="101"/>
                  <w:divBdr>
                    <w:top w:val="none" w:sz="0" w:space="0" w:color="auto"/>
                    <w:left w:val="none" w:sz="0" w:space="0" w:color="auto"/>
                    <w:bottom w:val="none" w:sz="0" w:space="0" w:color="auto"/>
                    <w:right w:val="none" w:sz="0" w:space="0" w:color="auto"/>
                  </w:divBdr>
                </w:div>
                <w:div w:id="2027711658">
                  <w:marLeft w:val="0"/>
                  <w:marRight w:val="0"/>
                  <w:marTop w:val="0"/>
                  <w:marBottom w:val="101"/>
                  <w:divBdr>
                    <w:top w:val="none" w:sz="0" w:space="0" w:color="auto"/>
                    <w:left w:val="none" w:sz="0" w:space="0" w:color="auto"/>
                    <w:bottom w:val="none" w:sz="0" w:space="0" w:color="auto"/>
                    <w:right w:val="none" w:sz="0" w:space="0" w:color="auto"/>
                  </w:divBdr>
                </w:div>
                <w:div w:id="1858501366">
                  <w:marLeft w:val="0"/>
                  <w:marRight w:val="0"/>
                  <w:marTop w:val="0"/>
                  <w:marBottom w:val="101"/>
                  <w:divBdr>
                    <w:top w:val="none" w:sz="0" w:space="0" w:color="auto"/>
                    <w:left w:val="none" w:sz="0" w:space="0" w:color="auto"/>
                    <w:bottom w:val="none" w:sz="0" w:space="0" w:color="auto"/>
                    <w:right w:val="none" w:sz="0" w:space="0" w:color="auto"/>
                  </w:divBdr>
                </w:div>
                <w:div w:id="1367874388">
                  <w:marLeft w:val="0"/>
                  <w:marRight w:val="0"/>
                  <w:marTop w:val="0"/>
                  <w:marBottom w:val="101"/>
                  <w:divBdr>
                    <w:top w:val="none" w:sz="0" w:space="0" w:color="auto"/>
                    <w:left w:val="none" w:sz="0" w:space="0" w:color="auto"/>
                    <w:bottom w:val="none" w:sz="0" w:space="0" w:color="auto"/>
                    <w:right w:val="none" w:sz="0" w:space="0" w:color="auto"/>
                  </w:divBdr>
                </w:div>
                <w:div w:id="2048792305">
                  <w:marLeft w:val="0"/>
                  <w:marRight w:val="0"/>
                  <w:marTop w:val="0"/>
                  <w:marBottom w:val="101"/>
                  <w:divBdr>
                    <w:top w:val="none" w:sz="0" w:space="0" w:color="auto"/>
                    <w:left w:val="none" w:sz="0" w:space="0" w:color="auto"/>
                    <w:bottom w:val="none" w:sz="0" w:space="0" w:color="auto"/>
                    <w:right w:val="none" w:sz="0" w:space="0" w:color="auto"/>
                  </w:divBdr>
                </w:div>
                <w:div w:id="865756104">
                  <w:marLeft w:val="0"/>
                  <w:marRight w:val="0"/>
                  <w:marTop w:val="0"/>
                  <w:marBottom w:val="101"/>
                  <w:divBdr>
                    <w:top w:val="none" w:sz="0" w:space="0" w:color="auto"/>
                    <w:left w:val="none" w:sz="0" w:space="0" w:color="auto"/>
                    <w:bottom w:val="none" w:sz="0" w:space="0" w:color="auto"/>
                    <w:right w:val="none" w:sz="0" w:space="0" w:color="auto"/>
                  </w:divBdr>
                </w:div>
                <w:div w:id="416052970">
                  <w:marLeft w:val="0"/>
                  <w:marRight w:val="0"/>
                  <w:marTop w:val="0"/>
                  <w:marBottom w:val="101"/>
                  <w:divBdr>
                    <w:top w:val="none" w:sz="0" w:space="0" w:color="auto"/>
                    <w:left w:val="none" w:sz="0" w:space="0" w:color="auto"/>
                    <w:bottom w:val="none" w:sz="0" w:space="0" w:color="auto"/>
                    <w:right w:val="none" w:sz="0" w:space="0" w:color="auto"/>
                  </w:divBdr>
                </w:div>
                <w:div w:id="264652472">
                  <w:marLeft w:val="720"/>
                  <w:marRight w:val="0"/>
                  <w:marTop w:val="0"/>
                  <w:marBottom w:val="101"/>
                  <w:divBdr>
                    <w:top w:val="none" w:sz="0" w:space="0" w:color="auto"/>
                    <w:left w:val="none" w:sz="0" w:space="0" w:color="auto"/>
                    <w:bottom w:val="none" w:sz="0" w:space="0" w:color="auto"/>
                    <w:right w:val="none" w:sz="0" w:space="0" w:color="auto"/>
                  </w:divBdr>
                </w:div>
                <w:div w:id="248470496">
                  <w:marLeft w:val="720"/>
                  <w:marRight w:val="0"/>
                  <w:marTop w:val="0"/>
                  <w:marBottom w:val="101"/>
                  <w:divBdr>
                    <w:top w:val="none" w:sz="0" w:space="0" w:color="auto"/>
                    <w:left w:val="none" w:sz="0" w:space="0" w:color="auto"/>
                    <w:bottom w:val="none" w:sz="0" w:space="0" w:color="auto"/>
                    <w:right w:val="none" w:sz="0" w:space="0" w:color="auto"/>
                  </w:divBdr>
                </w:div>
                <w:div w:id="919368404">
                  <w:marLeft w:val="0"/>
                  <w:marRight w:val="0"/>
                  <w:marTop w:val="0"/>
                  <w:marBottom w:val="101"/>
                  <w:divBdr>
                    <w:top w:val="none" w:sz="0" w:space="0" w:color="auto"/>
                    <w:left w:val="none" w:sz="0" w:space="0" w:color="auto"/>
                    <w:bottom w:val="none" w:sz="0" w:space="0" w:color="auto"/>
                    <w:right w:val="none" w:sz="0" w:space="0" w:color="auto"/>
                  </w:divBdr>
                </w:div>
                <w:div w:id="1730111400">
                  <w:marLeft w:val="720"/>
                  <w:marRight w:val="0"/>
                  <w:marTop w:val="0"/>
                  <w:marBottom w:val="101"/>
                  <w:divBdr>
                    <w:top w:val="none" w:sz="0" w:space="0" w:color="auto"/>
                    <w:left w:val="none" w:sz="0" w:space="0" w:color="auto"/>
                    <w:bottom w:val="none" w:sz="0" w:space="0" w:color="auto"/>
                    <w:right w:val="none" w:sz="0" w:space="0" w:color="auto"/>
                  </w:divBdr>
                </w:div>
                <w:div w:id="1062757162">
                  <w:marLeft w:val="720"/>
                  <w:marRight w:val="0"/>
                  <w:marTop w:val="0"/>
                  <w:marBottom w:val="101"/>
                  <w:divBdr>
                    <w:top w:val="none" w:sz="0" w:space="0" w:color="auto"/>
                    <w:left w:val="none" w:sz="0" w:space="0" w:color="auto"/>
                    <w:bottom w:val="none" w:sz="0" w:space="0" w:color="auto"/>
                    <w:right w:val="none" w:sz="0" w:space="0" w:color="auto"/>
                  </w:divBdr>
                </w:div>
                <w:div w:id="1853445751">
                  <w:marLeft w:val="0"/>
                  <w:marRight w:val="0"/>
                  <w:marTop w:val="0"/>
                  <w:marBottom w:val="101"/>
                  <w:divBdr>
                    <w:top w:val="none" w:sz="0" w:space="0" w:color="auto"/>
                    <w:left w:val="none" w:sz="0" w:space="0" w:color="auto"/>
                    <w:bottom w:val="none" w:sz="0" w:space="0" w:color="auto"/>
                    <w:right w:val="none" w:sz="0" w:space="0" w:color="auto"/>
                  </w:divBdr>
                </w:div>
                <w:div w:id="692269046">
                  <w:marLeft w:val="0"/>
                  <w:marRight w:val="0"/>
                  <w:marTop w:val="0"/>
                  <w:marBottom w:val="101"/>
                  <w:divBdr>
                    <w:top w:val="none" w:sz="0" w:space="0" w:color="auto"/>
                    <w:left w:val="none" w:sz="0" w:space="0" w:color="auto"/>
                    <w:bottom w:val="none" w:sz="0" w:space="0" w:color="auto"/>
                    <w:right w:val="none" w:sz="0" w:space="0" w:color="auto"/>
                  </w:divBdr>
                </w:div>
                <w:div w:id="401680578">
                  <w:marLeft w:val="0"/>
                  <w:marRight w:val="0"/>
                  <w:marTop w:val="0"/>
                  <w:marBottom w:val="101"/>
                  <w:divBdr>
                    <w:top w:val="none" w:sz="0" w:space="0" w:color="auto"/>
                    <w:left w:val="none" w:sz="0" w:space="0" w:color="auto"/>
                    <w:bottom w:val="none" w:sz="0" w:space="0" w:color="auto"/>
                    <w:right w:val="none" w:sz="0" w:space="0" w:color="auto"/>
                  </w:divBdr>
                </w:div>
                <w:div w:id="492644929">
                  <w:marLeft w:val="0"/>
                  <w:marRight w:val="0"/>
                  <w:marTop w:val="0"/>
                  <w:marBottom w:val="101"/>
                  <w:divBdr>
                    <w:top w:val="none" w:sz="0" w:space="0" w:color="auto"/>
                    <w:left w:val="none" w:sz="0" w:space="0" w:color="auto"/>
                    <w:bottom w:val="none" w:sz="0" w:space="0" w:color="auto"/>
                    <w:right w:val="none" w:sz="0" w:space="0" w:color="auto"/>
                  </w:divBdr>
                </w:div>
                <w:div w:id="197203542">
                  <w:marLeft w:val="0"/>
                  <w:marRight w:val="0"/>
                  <w:marTop w:val="0"/>
                  <w:marBottom w:val="101"/>
                  <w:divBdr>
                    <w:top w:val="none" w:sz="0" w:space="0" w:color="auto"/>
                    <w:left w:val="none" w:sz="0" w:space="0" w:color="auto"/>
                    <w:bottom w:val="none" w:sz="0" w:space="0" w:color="auto"/>
                    <w:right w:val="none" w:sz="0" w:space="0" w:color="auto"/>
                  </w:divBdr>
                </w:div>
                <w:div w:id="1930388961">
                  <w:marLeft w:val="0"/>
                  <w:marRight w:val="0"/>
                  <w:marTop w:val="0"/>
                  <w:marBottom w:val="101"/>
                  <w:divBdr>
                    <w:top w:val="none" w:sz="0" w:space="0" w:color="auto"/>
                    <w:left w:val="none" w:sz="0" w:space="0" w:color="auto"/>
                    <w:bottom w:val="none" w:sz="0" w:space="0" w:color="auto"/>
                    <w:right w:val="none" w:sz="0" w:space="0" w:color="auto"/>
                  </w:divBdr>
                </w:div>
                <w:div w:id="249778183">
                  <w:marLeft w:val="0"/>
                  <w:marRight w:val="0"/>
                  <w:marTop w:val="0"/>
                  <w:marBottom w:val="101"/>
                  <w:divBdr>
                    <w:top w:val="none" w:sz="0" w:space="0" w:color="auto"/>
                    <w:left w:val="none" w:sz="0" w:space="0" w:color="auto"/>
                    <w:bottom w:val="none" w:sz="0" w:space="0" w:color="auto"/>
                    <w:right w:val="none" w:sz="0" w:space="0" w:color="auto"/>
                  </w:divBdr>
                </w:div>
                <w:div w:id="847332739">
                  <w:marLeft w:val="0"/>
                  <w:marRight w:val="0"/>
                  <w:marTop w:val="0"/>
                  <w:marBottom w:val="101"/>
                  <w:divBdr>
                    <w:top w:val="none" w:sz="0" w:space="0" w:color="auto"/>
                    <w:left w:val="none" w:sz="0" w:space="0" w:color="auto"/>
                    <w:bottom w:val="none" w:sz="0" w:space="0" w:color="auto"/>
                    <w:right w:val="none" w:sz="0" w:space="0" w:color="auto"/>
                  </w:divBdr>
                </w:div>
                <w:div w:id="1542747294">
                  <w:marLeft w:val="0"/>
                  <w:marRight w:val="0"/>
                  <w:marTop w:val="0"/>
                  <w:marBottom w:val="101"/>
                  <w:divBdr>
                    <w:top w:val="none" w:sz="0" w:space="0" w:color="auto"/>
                    <w:left w:val="none" w:sz="0" w:space="0" w:color="auto"/>
                    <w:bottom w:val="none" w:sz="0" w:space="0" w:color="auto"/>
                    <w:right w:val="none" w:sz="0" w:space="0" w:color="auto"/>
                  </w:divBdr>
                </w:div>
                <w:div w:id="2115393928">
                  <w:marLeft w:val="0"/>
                  <w:marRight w:val="0"/>
                  <w:marTop w:val="0"/>
                  <w:marBottom w:val="20"/>
                  <w:divBdr>
                    <w:top w:val="none" w:sz="0" w:space="0" w:color="auto"/>
                    <w:left w:val="none" w:sz="0" w:space="0" w:color="auto"/>
                    <w:bottom w:val="none" w:sz="0" w:space="0" w:color="auto"/>
                    <w:right w:val="none" w:sz="0" w:space="0" w:color="auto"/>
                  </w:divBdr>
                </w:div>
                <w:div w:id="1361931606">
                  <w:marLeft w:val="0"/>
                  <w:marRight w:val="0"/>
                  <w:marTop w:val="0"/>
                  <w:marBottom w:val="20"/>
                  <w:divBdr>
                    <w:top w:val="none" w:sz="0" w:space="0" w:color="auto"/>
                    <w:left w:val="none" w:sz="0" w:space="0" w:color="auto"/>
                    <w:bottom w:val="none" w:sz="0" w:space="0" w:color="auto"/>
                    <w:right w:val="none" w:sz="0" w:space="0" w:color="auto"/>
                  </w:divBdr>
                </w:div>
                <w:div w:id="637034644">
                  <w:marLeft w:val="0"/>
                  <w:marRight w:val="0"/>
                  <w:marTop w:val="0"/>
                  <w:marBottom w:val="20"/>
                  <w:divBdr>
                    <w:top w:val="none" w:sz="0" w:space="0" w:color="auto"/>
                    <w:left w:val="none" w:sz="0" w:space="0" w:color="auto"/>
                    <w:bottom w:val="none" w:sz="0" w:space="0" w:color="auto"/>
                    <w:right w:val="none" w:sz="0" w:space="0" w:color="auto"/>
                  </w:divBdr>
                </w:div>
                <w:div w:id="774666187">
                  <w:marLeft w:val="0"/>
                  <w:marRight w:val="0"/>
                  <w:marTop w:val="0"/>
                  <w:marBottom w:val="101"/>
                  <w:divBdr>
                    <w:top w:val="none" w:sz="0" w:space="0" w:color="auto"/>
                    <w:left w:val="none" w:sz="0" w:space="0" w:color="auto"/>
                    <w:bottom w:val="none" w:sz="0" w:space="0" w:color="auto"/>
                    <w:right w:val="none" w:sz="0" w:space="0" w:color="auto"/>
                  </w:divBdr>
                </w:div>
                <w:div w:id="1576427403">
                  <w:marLeft w:val="0"/>
                  <w:marRight w:val="0"/>
                  <w:marTop w:val="0"/>
                  <w:marBottom w:val="20"/>
                  <w:divBdr>
                    <w:top w:val="none" w:sz="0" w:space="0" w:color="auto"/>
                    <w:left w:val="none" w:sz="0" w:space="0" w:color="auto"/>
                    <w:bottom w:val="none" w:sz="0" w:space="0" w:color="auto"/>
                    <w:right w:val="none" w:sz="0" w:space="0" w:color="auto"/>
                  </w:divBdr>
                </w:div>
                <w:div w:id="228807972">
                  <w:marLeft w:val="0"/>
                  <w:marRight w:val="0"/>
                  <w:marTop w:val="0"/>
                  <w:marBottom w:val="20"/>
                  <w:divBdr>
                    <w:top w:val="none" w:sz="0" w:space="0" w:color="auto"/>
                    <w:left w:val="none" w:sz="0" w:space="0" w:color="auto"/>
                    <w:bottom w:val="none" w:sz="0" w:space="0" w:color="auto"/>
                    <w:right w:val="none" w:sz="0" w:space="0" w:color="auto"/>
                  </w:divBdr>
                </w:div>
                <w:div w:id="1993829256">
                  <w:marLeft w:val="0"/>
                  <w:marRight w:val="0"/>
                  <w:marTop w:val="0"/>
                  <w:marBottom w:val="20"/>
                  <w:divBdr>
                    <w:top w:val="none" w:sz="0" w:space="0" w:color="auto"/>
                    <w:left w:val="none" w:sz="0" w:space="0" w:color="auto"/>
                    <w:bottom w:val="none" w:sz="0" w:space="0" w:color="auto"/>
                    <w:right w:val="none" w:sz="0" w:space="0" w:color="auto"/>
                  </w:divBdr>
                </w:div>
                <w:div w:id="1714232178">
                  <w:marLeft w:val="0"/>
                  <w:marRight w:val="0"/>
                  <w:marTop w:val="0"/>
                  <w:marBottom w:val="101"/>
                  <w:divBdr>
                    <w:top w:val="none" w:sz="0" w:space="0" w:color="auto"/>
                    <w:left w:val="none" w:sz="0" w:space="0" w:color="auto"/>
                    <w:bottom w:val="none" w:sz="0" w:space="0" w:color="auto"/>
                    <w:right w:val="none" w:sz="0" w:space="0" w:color="auto"/>
                  </w:divBdr>
                </w:div>
                <w:div w:id="81342229">
                  <w:marLeft w:val="0"/>
                  <w:marRight w:val="0"/>
                  <w:marTop w:val="0"/>
                  <w:marBottom w:val="101"/>
                  <w:divBdr>
                    <w:top w:val="none" w:sz="0" w:space="0" w:color="auto"/>
                    <w:left w:val="none" w:sz="0" w:space="0" w:color="auto"/>
                    <w:bottom w:val="none" w:sz="0" w:space="0" w:color="auto"/>
                    <w:right w:val="none" w:sz="0" w:space="0" w:color="auto"/>
                  </w:divBdr>
                </w:div>
                <w:div w:id="1463428202">
                  <w:marLeft w:val="0"/>
                  <w:marRight w:val="0"/>
                  <w:marTop w:val="0"/>
                  <w:marBottom w:val="20"/>
                  <w:divBdr>
                    <w:top w:val="none" w:sz="0" w:space="0" w:color="auto"/>
                    <w:left w:val="none" w:sz="0" w:space="0" w:color="auto"/>
                    <w:bottom w:val="none" w:sz="0" w:space="0" w:color="auto"/>
                    <w:right w:val="none" w:sz="0" w:space="0" w:color="auto"/>
                  </w:divBdr>
                </w:div>
                <w:div w:id="2137260255">
                  <w:marLeft w:val="0"/>
                  <w:marRight w:val="0"/>
                  <w:marTop w:val="0"/>
                  <w:marBottom w:val="20"/>
                  <w:divBdr>
                    <w:top w:val="none" w:sz="0" w:space="0" w:color="auto"/>
                    <w:left w:val="none" w:sz="0" w:space="0" w:color="auto"/>
                    <w:bottom w:val="none" w:sz="0" w:space="0" w:color="auto"/>
                    <w:right w:val="none" w:sz="0" w:space="0" w:color="auto"/>
                  </w:divBdr>
                </w:div>
                <w:div w:id="2037153136">
                  <w:marLeft w:val="0"/>
                  <w:marRight w:val="0"/>
                  <w:marTop w:val="0"/>
                  <w:marBottom w:val="20"/>
                  <w:divBdr>
                    <w:top w:val="none" w:sz="0" w:space="0" w:color="auto"/>
                    <w:left w:val="none" w:sz="0" w:space="0" w:color="auto"/>
                    <w:bottom w:val="none" w:sz="0" w:space="0" w:color="auto"/>
                    <w:right w:val="none" w:sz="0" w:space="0" w:color="auto"/>
                  </w:divBdr>
                </w:div>
                <w:div w:id="1536699608">
                  <w:marLeft w:val="0"/>
                  <w:marRight w:val="0"/>
                  <w:marTop w:val="0"/>
                  <w:marBottom w:val="101"/>
                  <w:divBdr>
                    <w:top w:val="none" w:sz="0" w:space="0" w:color="auto"/>
                    <w:left w:val="none" w:sz="0" w:space="0" w:color="auto"/>
                    <w:bottom w:val="none" w:sz="0" w:space="0" w:color="auto"/>
                    <w:right w:val="none" w:sz="0" w:space="0" w:color="auto"/>
                  </w:divBdr>
                </w:div>
                <w:div w:id="1793131091">
                  <w:marLeft w:val="0"/>
                  <w:marRight w:val="0"/>
                  <w:marTop w:val="0"/>
                  <w:marBottom w:val="20"/>
                  <w:divBdr>
                    <w:top w:val="none" w:sz="0" w:space="0" w:color="auto"/>
                    <w:left w:val="none" w:sz="0" w:space="0" w:color="auto"/>
                    <w:bottom w:val="none" w:sz="0" w:space="0" w:color="auto"/>
                    <w:right w:val="none" w:sz="0" w:space="0" w:color="auto"/>
                  </w:divBdr>
                </w:div>
                <w:div w:id="549994535">
                  <w:marLeft w:val="0"/>
                  <w:marRight w:val="0"/>
                  <w:marTop w:val="0"/>
                  <w:marBottom w:val="20"/>
                  <w:divBdr>
                    <w:top w:val="none" w:sz="0" w:space="0" w:color="auto"/>
                    <w:left w:val="none" w:sz="0" w:space="0" w:color="auto"/>
                    <w:bottom w:val="none" w:sz="0" w:space="0" w:color="auto"/>
                    <w:right w:val="none" w:sz="0" w:space="0" w:color="auto"/>
                  </w:divBdr>
                </w:div>
                <w:div w:id="687609652">
                  <w:marLeft w:val="0"/>
                  <w:marRight w:val="0"/>
                  <w:marTop w:val="0"/>
                  <w:marBottom w:val="20"/>
                  <w:divBdr>
                    <w:top w:val="none" w:sz="0" w:space="0" w:color="auto"/>
                    <w:left w:val="none" w:sz="0" w:space="0" w:color="auto"/>
                    <w:bottom w:val="none" w:sz="0" w:space="0" w:color="auto"/>
                    <w:right w:val="none" w:sz="0" w:space="0" w:color="auto"/>
                  </w:divBdr>
                </w:div>
                <w:div w:id="709038226">
                  <w:marLeft w:val="0"/>
                  <w:marRight w:val="0"/>
                  <w:marTop w:val="0"/>
                  <w:marBottom w:val="101"/>
                  <w:divBdr>
                    <w:top w:val="none" w:sz="0" w:space="0" w:color="auto"/>
                    <w:left w:val="none" w:sz="0" w:space="0" w:color="auto"/>
                    <w:bottom w:val="none" w:sz="0" w:space="0" w:color="auto"/>
                    <w:right w:val="none" w:sz="0" w:space="0" w:color="auto"/>
                  </w:divBdr>
                </w:div>
                <w:div w:id="963773077">
                  <w:marLeft w:val="0"/>
                  <w:marRight w:val="0"/>
                  <w:marTop w:val="0"/>
                  <w:marBottom w:val="20"/>
                  <w:divBdr>
                    <w:top w:val="none" w:sz="0" w:space="0" w:color="auto"/>
                    <w:left w:val="none" w:sz="0" w:space="0" w:color="auto"/>
                    <w:bottom w:val="none" w:sz="0" w:space="0" w:color="auto"/>
                    <w:right w:val="none" w:sz="0" w:space="0" w:color="auto"/>
                  </w:divBdr>
                </w:div>
                <w:div w:id="596598415">
                  <w:marLeft w:val="0"/>
                  <w:marRight w:val="0"/>
                  <w:marTop w:val="0"/>
                  <w:marBottom w:val="20"/>
                  <w:divBdr>
                    <w:top w:val="none" w:sz="0" w:space="0" w:color="auto"/>
                    <w:left w:val="none" w:sz="0" w:space="0" w:color="auto"/>
                    <w:bottom w:val="none" w:sz="0" w:space="0" w:color="auto"/>
                    <w:right w:val="none" w:sz="0" w:space="0" w:color="auto"/>
                  </w:divBdr>
                </w:div>
                <w:div w:id="833692394">
                  <w:marLeft w:val="0"/>
                  <w:marRight w:val="0"/>
                  <w:marTop w:val="0"/>
                  <w:marBottom w:val="20"/>
                  <w:divBdr>
                    <w:top w:val="none" w:sz="0" w:space="0" w:color="auto"/>
                    <w:left w:val="none" w:sz="0" w:space="0" w:color="auto"/>
                    <w:bottom w:val="none" w:sz="0" w:space="0" w:color="auto"/>
                    <w:right w:val="none" w:sz="0" w:space="0" w:color="auto"/>
                  </w:divBdr>
                </w:div>
                <w:div w:id="1951279769">
                  <w:marLeft w:val="0"/>
                  <w:marRight w:val="0"/>
                  <w:marTop w:val="0"/>
                  <w:marBottom w:val="101"/>
                  <w:divBdr>
                    <w:top w:val="none" w:sz="0" w:space="0" w:color="auto"/>
                    <w:left w:val="none" w:sz="0" w:space="0" w:color="auto"/>
                    <w:bottom w:val="none" w:sz="0" w:space="0" w:color="auto"/>
                    <w:right w:val="none" w:sz="0" w:space="0" w:color="auto"/>
                  </w:divBdr>
                </w:div>
                <w:div w:id="1154029773">
                  <w:marLeft w:val="0"/>
                  <w:marRight w:val="0"/>
                  <w:marTop w:val="0"/>
                  <w:marBottom w:val="101"/>
                  <w:divBdr>
                    <w:top w:val="none" w:sz="0" w:space="0" w:color="auto"/>
                    <w:left w:val="none" w:sz="0" w:space="0" w:color="auto"/>
                    <w:bottom w:val="none" w:sz="0" w:space="0" w:color="auto"/>
                    <w:right w:val="none" w:sz="0" w:space="0" w:color="auto"/>
                  </w:divBdr>
                </w:div>
                <w:div w:id="2022466743">
                  <w:marLeft w:val="0"/>
                  <w:marRight w:val="0"/>
                  <w:marTop w:val="0"/>
                  <w:marBottom w:val="20"/>
                  <w:divBdr>
                    <w:top w:val="none" w:sz="0" w:space="0" w:color="auto"/>
                    <w:left w:val="none" w:sz="0" w:space="0" w:color="auto"/>
                    <w:bottom w:val="none" w:sz="0" w:space="0" w:color="auto"/>
                    <w:right w:val="none" w:sz="0" w:space="0" w:color="auto"/>
                  </w:divBdr>
                </w:div>
                <w:div w:id="2039046555">
                  <w:marLeft w:val="0"/>
                  <w:marRight w:val="0"/>
                  <w:marTop w:val="0"/>
                  <w:marBottom w:val="20"/>
                  <w:divBdr>
                    <w:top w:val="none" w:sz="0" w:space="0" w:color="auto"/>
                    <w:left w:val="none" w:sz="0" w:space="0" w:color="auto"/>
                    <w:bottom w:val="none" w:sz="0" w:space="0" w:color="auto"/>
                    <w:right w:val="none" w:sz="0" w:space="0" w:color="auto"/>
                  </w:divBdr>
                </w:div>
                <w:div w:id="580333592">
                  <w:marLeft w:val="0"/>
                  <w:marRight w:val="0"/>
                  <w:marTop w:val="0"/>
                  <w:marBottom w:val="20"/>
                  <w:divBdr>
                    <w:top w:val="none" w:sz="0" w:space="0" w:color="auto"/>
                    <w:left w:val="none" w:sz="0" w:space="0" w:color="auto"/>
                    <w:bottom w:val="none" w:sz="0" w:space="0" w:color="auto"/>
                    <w:right w:val="none" w:sz="0" w:space="0" w:color="auto"/>
                  </w:divBdr>
                </w:div>
                <w:div w:id="551304790">
                  <w:marLeft w:val="0"/>
                  <w:marRight w:val="0"/>
                  <w:marTop w:val="0"/>
                  <w:marBottom w:val="101"/>
                  <w:divBdr>
                    <w:top w:val="none" w:sz="0" w:space="0" w:color="auto"/>
                    <w:left w:val="none" w:sz="0" w:space="0" w:color="auto"/>
                    <w:bottom w:val="none" w:sz="0" w:space="0" w:color="auto"/>
                    <w:right w:val="none" w:sz="0" w:space="0" w:color="auto"/>
                  </w:divBdr>
                </w:div>
                <w:div w:id="2038043644">
                  <w:marLeft w:val="0"/>
                  <w:marRight w:val="0"/>
                  <w:marTop w:val="101"/>
                  <w:marBottom w:val="101"/>
                  <w:divBdr>
                    <w:top w:val="none" w:sz="0" w:space="0" w:color="auto"/>
                    <w:left w:val="none" w:sz="0" w:space="0" w:color="auto"/>
                    <w:bottom w:val="none" w:sz="0" w:space="0" w:color="auto"/>
                    <w:right w:val="none" w:sz="0" w:space="0" w:color="auto"/>
                  </w:divBdr>
                </w:div>
                <w:div w:id="982196493">
                  <w:marLeft w:val="0"/>
                  <w:marRight w:val="0"/>
                  <w:marTop w:val="0"/>
                  <w:marBottom w:val="101"/>
                  <w:divBdr>
                    <w:top w:val="none" w:sz="0" w:space="0" w:color="auto"/>
                    <w:left w:val="none" w:sz="0" w:space="0" w:color="auto"/>
                    <w:bottom w:val="none" w:sz="0" w:space="0" w:color="auto"/>
                    <w:right w:val="none" w:sz="0" w:space="0" w:color="auto"/>
                  </w:divBdr>
                </w:div>
                <w:div w:id="27726271">
                  <w:marLeft w:val="0"/>
                  <w:marRight w:val="0"/>
                  <w:marTop w:val="0"/>
                  <w:marBottom w:val="101"/>
                  <w:divBdr>
                    <w:top w:val="none" w:sz="0" w:space="0" w:color="auto"/>
                    <w:left w:val="none" w:sz="0" w:space="0" w:color="auto"/>
                    <w:bottom w:val="none" w:sz="0" w:space="0" w:color="auto"/>
                    <w:right w:val="none" w:sz="0" w:space="0" w:color="auto"/>
                  </w:divBdr>
                </w:div>
                <w:div w:id="1546062897">
                  <w:marLeft w:val="0"/>
                  <w:marRight w:val="0"/>
                  <w:marTop w:val="0"/>
                  <w:marBottom w:val="101"/>
                  <w:divBdr>
                    <w:top w:val="none" w:sz="0" w:space="0" w:color="auto"/>
                    <w:left w:val="none" w:sz="0" w:space="0" w:color="auto"/>
                    <w:bottom w:val="none" w:sz="0" w:space="0" w:color="auto"/>
                    <w:right w:val="none" w:sz="0" w:space="0" w:color="auto"/>
                  </w:divBdr>
                </w:div>
                <w:div w:id="1023559967">
                  <w:marLeft w:val="0"/>
                  <w:marRight w:val="0"/>
                  <w:marTop w:val="0"/>
                  <w:marBottom w:val="101"/>
                  <w:divBdr>
                    <w:top w:val="none" w:sz="0" w:space="0" w:color="auto"/>
                    <w:left w:val="none" w:sz="0" w:space="0" w:color="auto"/>
                    <w:bottom w:val="none" w:sz="0" w:space="0" w:color="auto"/>
                    <w:right w:val="none" w:sz="0" w:space="0" w:color="auto"/>
                  </w:divBdr>
                </w:div>
                <w:div w:id="1355575436">
                  <w:marLeft w:val="0"/>
                  <w:marRight w:val="0"/>
                  <w:marTop w:val="0"/>
                  <w:marBottom w:val="101"/>
                  <w:divBdr>
                    <w:top w:val="none" w:sz="0" w:space="0" w:color="auto"/>
                    <w:left w:val="none" w:sz="0" w:space="0" w:color="auto"/>
                    <w:bottom w:val="none" w:sz="0" w:space="0" w:color="auto"/>
                    <w:right w:val="none" w:sz="0" w:space="0" w:color="auto"/>
                  </w:divBdr>
                </w:div>
                <w:div w:id="1494446220">
                  <w:marLeft w:val="0"/>
                  <w:marRight w:val="0"/>
                  <w:marTop w:val="0"/>
                  <w:marBottom w:val="101"/>
                  <w:divBdr>
                    <w:top w:val="none" w:sz="0" w:space="0" w:color="auto"/>
                    <w:left w:val="none" w:sz="0" w:space="0" w:color="auto"/>
                    <w:bottom w:val="none" w:sz="0" w:space="0" w:color="auto"/>
                    <w:right w:val="none" w:sz="0" w:space="0" w:color="auto"/>
                  </w:divBdr>
                </w:div>
                <w:div w:id="1477532898">
                  <w:marLeft w:val="0"/>
                  <w:marRight w:val="0"/>
                  <w:marTop w:val="0"/>
                  <w:marBottom w:val="101"/>
                  <w:divBdr>
                    <w:top w:val="none" w:sz="0" w:space="0" w:color="auto"/>
                    <w:left w:val="none" w:sz="0" w:space="0" w:color="auto"/>
                    <w:bottom w:val="none" w:sz="0" w:space="0" w:color="auto"/>
                    <w:right w:val="none" w:sz="0" w:space="0" w:color="auto"/>
                  </w:divBdr>
                </w:div>
                <w:div w:id="2043361325">
                  <w:marLeft w:val="0"/>
                  <w:marRight w:val="0"/>
                  <w:marTop w:val="0"/>
                  <w:marBottom w:val="101"/>
                  <w:divBdr>
                    <w:top w:val="none" w:sz="0" w:space="0" w:color="auto"/>
                    <w:left w:val="none" w:sz="0" w:space="0" w:color="auto"/>
                    <w:bottom w:val="none" w:sz="0" w:space="0" w:color="auto"/>
                    <w:right w:val="none" w:sz="0" w:space="0" w:color="auto"/>
                  </w:divBdr>
                </w:div>
                <w:div w:id="1061754377">
                  <w:marLeft w:val="0"/>
                  <w:marRight w:val="0"/>
                  <w:marTop w:val="0"/>
                  <w:marBottom w:val="101"/>
                  <w:divBdr>
                    <w:top w:val="none" w:sz="0" w:space="0" w:color="auto"/>
                    <w:left w:val="none" w:sz="0" w:space="0" w:color="auto"/>
                    <w:bottom w:val="none" w:sz="0" w:space="0" w:color="auto"/>
                    <w:right w:val="none" w:sz="0" w:space="0" w:color="auto"/>
                  </w:divBdr>
                </w:div>
                <w:div w:id="1386371398">
                  <w:marLeft w:val="0"/>
                  <w:marRight w:val="0"/>
                  <w:marTop w:val="0"/>
                  <w:marBottom w:val="101"/>
                  <w:divBdr>
                    <w:top w:val="none" w:sz="0" w:space="0" w:color="auto"/>
                    <w:left w:val="none" w:sz="0" w:space="0" w:color="auto"/>
                    <w:bottom w:val="none" w:sz="0" w:space="0" w:color="auto"/>
                    <w:right w:val="none" w:sz="0" w:space="0" w:color="auto"/>
                  </w:divBdr>
                </w:div>
                <w:div w:id="1737389730">
                  <w:marLeft w:val="0"/>
                  <w:marRight w:val="0"/>
                  <w:marTop w:val="0"/>
                  <w:marBottom w:val="101"/>
                  <w:divBdr>
                    <w:top w:val="none" w:sz="0" w:space="0" w:color="auto"/>
                    <w:left w:val="none" w:sz="0" w:space="0" w:color="auto"/>
                    <w:bottom w:val="none" w:sz="0" w:space="0" w:color="auto"/>
                    <w:right w:val="none" w:sz="0" w:space="0" w:color="auto"/>
                  </w:divBdr>
                </w:div>
                <w:div w:id="1621182813">
                  <w:marLeft w:val="0"/>
                  <w:marRight w:val="0"/>
                  <w:marTop w:val="0"/>
                  <w:marBottom w:val="101"/>
                  <w:divBdr>
                    <w:top w:val="none" w:sz="0" w:space="0" w:color="auto"/>
                    <w:left w:val="none" w:sz="0" w:space="0" w:color="auto"/>
                    <w:bottom w:val="none" w:sz="0" w:space="0" w:color="auto"/>
                    <w:right w:val="none" w:sz="0" w:space="0" w:color="auto"/>
                  </w:divBdr>
                </w:div>
                <w:div w:id="48652664">
                  <w:marLeft w:val="0"/>
                  <w:marRight w:val="0"/>
                  <w:marTop w:val="0"/>
                  <w:marBottom w:val="101"/>
                  <w:divBdr>
                    <w:top w:val="none" w:sz="0" w:space="0" w:color="auto"/>
                    <w:left w:val="none" w:sz="0" w:space="0" w:color="auto"/>
                    <w:bottom w:val="none" w:sz="0" w:space="0" w:color="auto"/>
                    <w:right w:val="none" w:sz="0" w:space="0" w:color="auto"/>
                  </w:divBdr>
                </w:div>
                <w:div w:id="1271817713">
                  <w:marLeft w:val="0"/>
                  <w:marRight w:val="0"/>
                  <w:marTop w:val="101"/>
                  <w:marBottom w:val="101"/>
                  <w:divBdr>
                    <w:top w:val="none" w:sz="0" w:space="0" w:color="auto"/>
                    <w:left w:val="none" w:sz="0" w:space="0" w:color="auto"/>
                    <w:bottom w:val="none" w:sz="0" w:space="0" w:color="auto"/>
                    <w:right w:val="none" w:sz="0" w:space="0" w:color="auto"/>
                  </w:divBdr>
                </w:div>
                <w:div w:id="1851017704">
                  <w:marLeft w:val="0"/>
                  <w:marRight w:val="0"/>
                  <w:marTop w:val="0"/>
                  <w:marBottom w:val="101"/>
                  <w:divBdr>
                    <w:top w:val="none" w:sz="0" w:space="0" w:color="auto"/>
                    <w:left w:val="none" w:sz="0" w:space="0" w:color="auto"/>
                    <w:bottom w:val="none" w:sz="0" w:space="0" w:color="auto"/>
                    <w:right w:val="none" w:sz="0" w:space="0" w:color="auto"/>
                  </w:divBdr>
                </w:div>
                <w:div w:id="1595437121">
                  <w:marLeft w:val="0"/>
                  <w:marRight w:val="0"/>
                  <w:marTop w:val="0"/>
                  <w:marBottom w:val="101"/>
                  <w:divBdr>
                    <w:top w:val="none" w:sz="0" w:space="0" w:color="auto"/>
                    <w:left w:val="none" w:sz="0" w:space="0" w:color="auto"/>
                    <w:bottom w:val="none" w:sz="0" w:space="0" w:color="auto"/>
                    <w:right w:val="none" w:sz="0" w:space="0" w:color="auto"/>
                  </w:divBdr>
                </w:div>
                <w:div w:id="522668184">
                  <w:marLeft w:val="0"/>
                  <w:marRight w:val="0"/>
                  <w:marTop w:val="0"/>
                  <w:marBottom w:val="101"/>
                  <w:divBdr>
                    <w:top w:val="none" w:sz="0" w:space="0" w:color="auto"/>
                    <w:left w:val="none" w:sz="0" w:space="0" w:color="auto"/>
                    <w:bottom w:val="none" w:sz="0" w:space="0" w:color="auto"/>
                    <w:right w:val="none" w:sz="0" w:space="0" w:color="auto"/>
                  </w:divBdr>
                </w:div>
                <w:div w:id="160319187">
                  <w:marLeft w:val="0"/>
                  <w:marRight w:val="0"/>
                  <w:marTop w:val="0"/>
                  <w:marBottom w:val="101"/>
                  <w:divBdr>
                    <w:top w:val="none" w:sz="0" w:space="0" w:color="auto"/>
                    <w:left w:val="none" w:sz="0" w:space="0" w:color="auto"/>
                    <w:bottom w:val="none" w:sz="0" w:space="0" w:color="auto"/>
                    <w:right w:val="none" w:sz="0" w:space="0" w:color="auto"/>
                  </w:divBdr>
                </w:div>
                <w:div w:id="628702226">
                  <w:marLeft w:val="0"/>
                  <w:marRight w:val="0"/>
                  <w:marTop w:val="0"/>
                  <w:marBottom w:val="101"/>
                  <w:divBdr>
                    <w:top w:val="none" w:sz="0" w:space="0" w:color="auto"/>
                    <w:left w:val="none" w:sz="0" w:space="0" w:color="auto"/>
                    <w:bottom w:val="none" w:sz="0" w:space="0" w:color="auto"/>
                    <w:right w:val="none" w:sz="0" w:space="0" w:color="auto"/>
                  </w:divBdr>
                </w:div>
                <w:div w:id="524903078">
                  <w:marLeft w:val="0"/>
                  <w:marRight w:val="0"/>
                  <w:marTop w:val="0"/>
                  <w:marBottom w:val="101"/>
                  <w:divBdr>
                    <w:top w:val="none" w:sz="0" w:space="0" w:color="auto"/>
                    <w:left w:val="none" w:sz="0" w:space="0" w:color="auto"/>
                    <w:bottom w:val="none" w:sz="0" w:space="0" w:color="auto"/>
                    <w:right w:val="none" w:sz="0" w:space="0" w:color="auto"/>
                  </w:divBdr>
                </w:div>
                <w:div w:id="733696714">
                  <w:marLeft w:val="0"/>
                  <w:marRight w:val="0"/>
                  <w:marTop w:val="0"/>
                  <w:marBottom w:val="101"/>
                  <w:divBdr>
                    <w:top w:val="none" w:sz="0" w:space="0" w:color="auto"/>
                    <w:left w:val="none" w:sz="0" w:space="0" w:color="auto"/>
                    <w:bottom w:val="none" w:sz="0" w:space="0" w:color="auto"/>
                    <w:right w:val="none" w:sz="0" w:space="0" w:color="auto"/>
                  </w:divBdr>
                </w:div>
                <w:div w:id="963273320">
                  <w:marLeft w:val="0"/>
                  <w:marRight w:val="0"/>
                  <w:marTop w:val="0"/>
                  <w:marBottom w:val="101"/>
                  <w:divBdr>
                    <w:top w:val="none" w:sz="0" w:space="0" w:color="auto"/>
                    <w:left w:val="none" w:sz="0" w:space="0" w:color="auto"/>
                    <w:bottom w:val="none" w:sz="0" w:space="0" w:color="auto"/>
                    <w:right w:val="none" w:sz="0" w:space="0" w:color="auto"/>
                  </w:divBdr>
                </w:div>
                <w:div w:id="1347554751">
                  <w:marLeft w:val="0"/>
                  <w:marRight w:val="0"/>
                  <w:marTop w:val="0"/>
                  <w:marBottom w:val="101"/>
                  <w:divBdr>
                    <w:top w:val="none" w:sz="0" w:space="0" w:color="auto"/>
                    <w:left w:val="none" w:sz="0" w:space="0" w:color="auto"/>
                    <w:bottom w:val="none" w:sz="0" w:space="0" w:color="auto"/>
                    <w:right w:val="none" w:sz="0" w:space="0" w:color="auto"/>
                  </w:divBdr>
                </w:div>
                <w:div w:id="1997102964">
                  <w:marLeft w:val="0"/>
                  <w:marRight w:val="0"/>
                  <w:marTop w:val="0"/>
                  <w:marBottom w:val="101"/>
                  <w:divBdr>
                    <w:top w:val="none" w:sz="0" w:space="0" w:color="auto"/>
                    <w:left w:val="none" w:sz="0" w:space="0" w:color="auto"/>
                    <w:bottom w:val="none" w:sz="0" w:space="0" w:color="auto"/>
                    <w:right w:val="none" w:sz="0" w:space="0" w:color="auto"/>
                  </w:divBdr>
                </w:div>
                <w:div w:id="11949226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2131</Words>
  <Characters>11722</Characters>
  <Application>Microsoft Office Word</Application>
  <DocSecurity>4</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2018-07-17T21:11:00Z</cp:lastPrinted>
  <dcterms:created xsi:type="dcterms:W3CDTF">2018-07-18T18:57:00Z</dcterms:created>
  <dcterms:modified xsi:type="dcterms:W3CDTF">2018-07-18T18:57:00Z</dcterms:modified>
</cp:coreProperties>
</file>