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6F" w:rsidRPr="00922FAC" w:rsidRDefault="0059406F" w:rsidP="00922FAC">
      <w:pPr>
        <w:spacing w:after="160" w:line="259" w:lineRule="auto"/>
        <w:jc w:val="both"/>
        <w:rPr>
          <w:b/>
        </w:rPr>
      </w:pPr>
      <w:r w:rsidRPr="00922FAC">
        <w:rPr>
          <w:b/>
        </w:rPr>
        <w:t>¿Qué es?</w:t>
      </w:r>
    </w:p>
    <w:p w:rsidR="0059406F" w:rsidRDefault="00F21E36" w:rsidP="00922FAC">
      <w:pPr>
        <w:spacing w:after="160" w:line="259" w:lineRule="auto"/>
        <w:jc w:val="both"/>
      </w:pPr>
      <w:r>
        <w:t xml:space="preserve">Es </w:t>
      </w:r>
      <w:r w:rsidR="00CD0422">
        <w:t xml:space="preserve">el acervo </w:t>
      </w:r>
      <w:r w:rsidR="001178AD">
        <w:t xml:space="preserve">de carácter informativo </w:t>
      </w:r>
      <w:r w:rsidR="00CD0422">
        <w:t xml:space="preserve">de las regulaciones arancelarias y no arancelarias a las que están sujetas las fracciones arancelarias vigentes de la Tarifa de la Ley de los Impuestos Generales de Importación y de Exportación (TIGIE), </w:t>
      </w:r>
      <w:r w:rsidR="0059406F">
        <w:t xml:space="preserve">actualizado </w:t>
      </w:r>
      <w:r w:rsidR="00143D71">
        <w:t>permanentemente</w:t>
      </w:r>
      <w:r w:rsidR="001178AD">
        <w:t>,</w:t>
      </w:r>
      <w:r w:rsidR="00143D71">
        <w:t xml:space="preserve"> </w:t>
      </w:r>
      <w:r w:rsidR="001178AD">
        <w:t>que tiene</w:t>
      </w:r>
      <w:r w:rsidR="00CD0422">
        <w:t xml:space="preserve"> el objetivo de servir </w:t>
      </w:r>
      <w:r w:rsidR="00F00834">
        <w:t xml:space="preserve">de </w:t>
      </w:r>
      <w:r w:rsidR="0059406F">
        <w:t>referencia</w:t>
      </w:r>
      <w:r w:rsidR="00F00834">
        <w:t xml:space="preserve"> para impor</w:t>
      </w:r>
      <w:r w:rsidR="00883AAE">
        <w:t>tadores, exportadores</w:t>
      </w:r>
      <w:r w:rsidR="00CD0422">
        <w:t xml:space="preserve"> y </w:t>
      </w:r>
      <w:r w:rsidR="001178AD">
        <w:t>público</w:t>
      </w:r>
      <w:r w:rsidR="00F00834">
        <w:t xml:space="preserve"> en general sobre las </w:t>
      </w:r>
      <w:r w:rsidR="0059406F">
        <w:t>regulaciones</w:t>
      </w:r>
      <w:r w:rsidR="00F00834">
        <w:t xml:space="preserve"> arancelarias y no </w:t>
      </w:r>
      <w:r w:rsidR="0059406F">
        <w:t>arancelarias</w:t>
      </w:r>
      <w:r w:rsidR="00F00834">
        <w:t xml:space="preserve"> vigentes en nuestro país</w:t>
      </w:r>
      <w:r w:rsidR="0059406F">
        <w:t>.</w:t>
      </w:r>
    </w:p>
    <w:p w:rsidR="004A53FC" w:rsidRDefault="004A53FC" w:rsidP="004A53FC">
      <w:pPr>
        <w:pStyle w:val="Prrafodelista"/>
      </w:pPr>
    </w:p>
    <w:p w:rsidR="00143D71" w:rsidRDefault="00D767E5" w:rsidP="00143D71">
      <w:pPr>
        <w:spacing w:after="160" w:line="259" w:lineRule="auto"/>
        <w:jc w:val="both"/>
      </w:pPr>
      <w:r w:rsidRPr="00922FAC">
        <w:rPr>
          <w:b/>
        </w:rPr>
        <w:t>¿Qué contiene?</w:t>
      </w:r>
      <w:r w:rsidR="00143D71" w:rsidRPr="00143D71">
        <w:t xml:space="preserve"> </w:t>
      </w:r>
    </w:p>
    <w:p w:rsidR="00143D71" w:rsidRDefault="00883AAE" w:rsidP="00143D71">
      <w:pPr>
        <w:spacing w:after="160" w:line="259" w:lineRule="auto"/>
        <w:jc w:val="both"/>
      </w:pPr>
      <w:r>
        <w:t>El portal del Acervo de Regulaciones</w:t>
      </w:r>
      <w:r w:rsidR="00143D71">
        <w:t xml:space="preserve"> </w:t>
      </w:r>
      <w:r>
        <w:t xml:space="preserve">de la TIGIE </w:t>
      </w:r>
      <w:r w:rsidR="00F21E36">
        <w:t>detalla para cada</w:t>
      </w:r>
      <w:r w:rsidR="00143D71">
        <w:t xml:space="preserve"> </w:t>
      </w:r>
      <w:r w:rsidR="00F21E36">
        <w:t>fracción arancelaria vigente</w:t>
      </w:r>
      <w:r w:rsidR="00143D71">
        <w:t xml:space="preserve"> de la TIGIE: </w:t>
      </w:r>
    </w:p>
    <w:p w:rsidR="00143D71" w:rsidRDefault="008A209A" w:rsidP="00143D71">
      <w:pPr>
        <w:pStyle w:val="Prrafodelista"/>
        <w:numPr>
          <w:ilvl w:val="0"/>
          <w:numId w:val="26"/>
        </w:numPr>
        <w:spacing w:after="160" w:line="259" w:lineRule="auto"/>
        <w:jc w:val="both"/>
      </w:pPr>
      <w:r>
        <w:t xml:space="preserve">La </w:t>
      </w:r>
      <w:r w:rsidR="00143D71">
        <w:t>Unidad de Medida</w:t>
      </w:r>
      <w:r w:rsidR="00883AAE">
        <w:t xml:space="preserve"> de la Tarifa.</w:t>
      </w:r>
    </w:p>
    <w:p w:rsidR="00143D71" w:rsidRDefault="008A209A" w:rsidP="00143D71">
      <w:pPr>
        <w:pStyle w:val="Prrafodelista"/>
        <w:numPr>
          <w:ilvl w:val="0"/>
          <w:numId w:val="26"/>
        </w:numPr>
        <w:spacing w:after="160" w:line="259" w:lineRule="auto"/>
        <w:jc w:val="both"/>
      </w:pPr>
      <w:r>
        <w:t xml:space="preserve">La </w:t>
      </w:r>
      <w:r w:rsidR="00143D71">
        <w:t>Descripción</w:t>
      </w:r>
      <w:r w:rsidR="00883AAE">
        <w:t>.</w:t>
      </w:r>
    </w:p>
    <w:p w:rsidR="00143D71" w:rsidRDefault="008A209A" w:rsidP="00143D71">
      <w:pPr>
        <w:pStyle w:val="Prrafodelista"/>
        <w:numPr>
          <w:ilvl w:val="0"/>
          <w:numId w:val="26"/>
        </w:numPr>
        <w:spacing w:after="160" w:line="259" w:lineRule="auto"/>
        <w:jc w:val="both"/>
      </w:pPr>
      <w:r>
        <w:t>El a</w:t>
      </w:r>
      <w:r w:rsidR="00143D71">
        <w:t>rancel a la importación y exportación</w:t>
      </w:r>
      <w:r w:rsidR="00883AAE">
        <w:t>.</w:t>
      </w:r>
    </w:p>
    <w:p w:rsidR="00143D71" w:rsidRDefault="008A209A" w:rsidP="00143D71">
      <w:pPr>
        <w:pStyle w:val="Prrafodelista"/>
        <w:numPr>
          <w:ilvl w:val="0"/>
          <w:numId w:val="26"/>
        </w:numPr>
        <w:spacing w:after="160" w:line="259" w:lineRule="auto"/>
        <w:jc w:val="both"/>
      </w:pPr>
      <w:r>
        <w:t xml:space="preserve">Las </w:t>
      </w:r>
      <w:r w:rsidR="00143D71">
        <w:t xml:space="preserve">Regulaciones Arancelarias y </w:t>
      </w:r>
      <w:r>
        <w:t>n</w:t>
      </w:r>
      <w:r w:rsidR="00143D71">
        <w:t>o Arancelarias</w:t>
      </w:r>
      <w:r>
        <w:t>,</w:t>
      </w:r>
      <w:r w:rsidR="00143D71">
        <w:t xml:space="preserve"> </w:t>
      </w:r>
      <w:r>
        <w:t>vigente</w:t>
      </w:r>
      <w:r w:rsidR="00F21E36">
        <w:t xml:space="preserve">s y </w:t>
      </w:r>
      <w:r w:rsidR="00883AAE">
        <w:t xml:space="preserve">las </w:t>
      </w:r>
      <w:r w:rsidR="00F21E36">
        <w:t xml:space="preserve">próximas a entrar en vigor, </w:t>
      </w:r>
      <w:r w:rsidR="00143D71" w:rsidRPr="00883AAE">
        <w:rPr>
          <w:b/>
        </w:rPr>
        <w:t xml:space="preserve">en tres apartados distintos: </w:t>
      </w:r>
    </w:p>
    <w:p w:rsidR="00143D71" w:rsidRDefault="00143D71" w:rsidP="00143D71">
      <w:pPr>
        <w:pStyle w:val="Prrafodelista"/>
        <w:spacing w:after="160" w:line="259" w:lineRule="auto"/>
        <w:ind w:left="782"/>
        <w:jc w:val="both"/>
      </w:pPr>
    </w:p>
    <w:p w:rsidR="009807E4" w:rsidRDefault="00D767E5" w:rsidP="00143D71">
      <w:pPr>
        <w:pStyle w:val="Prrafodelista"/>
        <w:numPr>
          <w:ilvl w:val="0"/>
          <w:numId w:val="25"/>
        </w:numPr>
        <w:spacing w:line="259" w:lineRule="auto"/>
        <w:ind w:left="993" w:hanging="284"/>
        <w:jc w:val="both"/>
      </w:pPr>
      <w:r w:rsidRPr="00922FAC">
        <w:rPr>
          <w:b/>
          <w:u w:val="single"/>
        </w:rPr>
        <w:t xml:space="preserve">Regulaciones </w:t>
      </w:r>
      <w:r w:rsidR="009201EF" w:rsidRPr="00922FAC">
        <w:rPr>
          <w:b/>
          <w:u w:val="single"/>
        </w:rPr>
        <w:t>A</w:t>
      </w:r>
      <w:r w:rsidRPr="00922FAC">
        <w:rPr>
          <w:b/>
          <w:u w:val="single"/>
        </w:rPr>
        <w:t>rancelarias</w:t>
      </w:r>
      <w:r w:rsidRPr="00922FAC">
        <w:rPr>
          <w:u w:val="single"/>
        </w:rPr>
        <w:t>:</w:t>
      </w:r>
      <w:r>
        <w:t xml:space="preserve"> </w:t>
      </w:r>
      <w:r w:rsidR="00883AAE">
        <w:t>En este apartado</w:t>
      </w:r>
      <w:r w:rsidR="009807E4">
        <w:t xml:space="preserve"> se listan </w:t>
      </w:r>
      <w:r w:rsidR="00DB23F2">
        <w:t xml:space="preserve">todas </w:t>
      </w:r>
      <w:r w:rsidR="009807E4">
        <w:t>las fracciones arancelarias</w:t>
      </w:r>
      <w:r w:rsidR="00810A6F">
        <w:t xml:space="preserve"> vigentes</w:t>
      </w:r>
      <w:r w:rsidR="009807E4">
        <w:t xml:space="preserve"> de la TIGIE, así como el nivel de aranceles que habrán de pagarse a la importación </w:t>
      </w:r>
      <w:r w:rsidR="00883AAE">
        <w:t>o exportación de las mercancías, y sus regulaciones arancelarias:</w:t>
      </w:r>
      <w:r w:rsidR="009807E4">
        <w:t xml:space="preserve"> </w:t>
      </w:r>
    </w:p>
    <w:p w:rsidR="00DB23F2" w:rsidRDefault="00DB23F2" w:rsidP="00922FAC">
      <w:pPr>
        <w:pStyle w:val="Prrafodelista"/>
        <w:spacing w:line="259" w:lineRule="auto"/>
        <w:ind w:left="2160"/>
        <w:jc w:val="both"/>
      </w:pPr>
    </w:p>
    <w:p w:rsidR="00D767E5" w:rsidRPr="00922FAC" w:rsidRDefault="00F21E36" w:rsidP="00922FAC">
      <w:pPr>
        <w:pStyle w:val="Prrafodelista"/>
        <w:numPr>
          <w:ilvl w:val="0"/>
          <w:numId w:val="23"/>
        </w:numPr>
        <w:spacing w:line="259" w:lineRule="auto"/>
        <w:ind w:left="2127" w:hanging="426"/>
        <w:jc w:val="both"/>
      </w:pPr>
      <w:r>
        <w:t>Los</w:t>
      </w:r>
      <w:r w:rsidR="009201EF">
        <w:t xml:space="preserve"> aranceles específicos </w:t>
      </w:r>
      <w:r>
        <w:t xml:space="preserve">de acuerdo a los </w:t>
      </w:r>
      <w:r w:rsidR="00D767E5">
        <w:t xml:space="preserve">programas </w:t>
      </w:r>
      <w:r>
        <w:t xml:space="preserve">PROSEC, </w:t>
      </w:r>
      <w:r w:rsidR="00D767E5" w:rsidRPr="00922FAC">
        <w:t>el Decreto</w:t>
      </w:r>
      <w:r w:rsidR="00D35DA5" w:rsidRPr="00922FAC">
        <w:t xml:space="preserve"> de</w:t>
      </w:r>
      <w:r>
        <w:t xml:space="preserve"> Frontera y</w:t>
      </w:r>
      <w:r w:rsidR="00D767E5" w:rsidRPr="00922FAC">
        <w:t xml:space="preserve"> la medida de retaliación</w:t>
      </w:r>
      <w:r>
        <w:t xml:space="preserve"> aplicada a los EE.UU. el 05 de junio</w:t>
      </w:r>
      <w:r w:rsidR="00883AAE">
        <w:t xml:space="preserve"> de 2018</w:t>
      </w:r>
      <w:r w:rsidR="009201EF" w:rsidRPr="00922FAC">
        <w:t xml:space="preserve">. </w:t>
      </w:r>
    </w:p>
    <w:p w:rsidR="00810A6F" w:rsidRDefault="00810A6F" w:rsidP="00922FAC">
      <w:pPr>
        <w:pStyle w:val="Prrafodelista"/>
        <w:spacing w:line="259" w:lineRule="auto"/>
        <w:ind w:left="2880"/>
        <w:jc w:val="both"/>
      </w:pPr>
    </w:p>
    <w:p w:rsidR="00810A6F" w:rsidRDefault="00810A6F" w:rsidP="00922FAC">
      <w:pPr>
        <w:pStyle w:val="Prrafodelista"/>
        <w:numPr>
          <w:ilvl w:val="0"/>
          <w:numId w:val="23"/>
        </w:numPr>
        <w:spacing w:line="259" w:lineRule="auto"/>
        <w:ind w:left="2127" w:hanging="426"/>
        <w:jc w:val="both"/>
      </w:pPr>
      <w:r>
        <w:t xml:space="preserve">Las tasas aplicables para cada país en particular con los cuales México tiene un Tratado o un Acuerdo Comercial.  </w:t>
      </w:r>
    </w:p>
    <w:p w:rsidR="00DB23F2" w:rsidRDefault="00DB23F2" w:rsidP="00922FAC">
      <w:pPr>
        <w:pStyle w:val="Prrafodelista"/>
        <w:spacing w:line="259" w:lineRule="auto"/>
        <w:ind w:left="2160"/>
        <w:jc w:val="both"/>
      </w:pPr>
    </w:p>
    <w:p w:rsidR="00D767E5" w:rsidRDefault="00D767E5" w:rsidP="00143D71">
      <w:pPr>
        <w:pStyle w:val="Prrafodelista"/>
        <w:numPr>
          <w:ilvl w:val="0"/>
          <w:numId w:val="25"/>
        </w:numPr>
        <w:spacing w:after="160" w:line="259" w:lineRule="auto"/>
        <w:ind w:left="993" w:hanging="284"/>
        <w:jc w:val="both"/>
      </w:pPr>
      <w:r w:rsidRPr="00922FAC">
        <w:rPr>
          <w:b/>
          <w:u w:val="single"/>
        </w:rPr>
        <w:t>Regulaciones</w:t>
      </w:r>
      <w:r w:rsidR="00922FAC" w:rsidRPr="00922FAC">
        <w:rPr>
          <w:b/>
          <w:u w:val="single"/>
        </w:rPr>
        <w:t xml:space="preserve"> </w:t>
      </w:r>
      <w:r w:rsidRPr="00922FAC">
        <w:rPr>
          <w:b/>
          <w:u w:val="single"/>
        </w:rPr>
        <w:t xml:space="preserve">no </w:t>
      </w:r>
      <w:r w:rsidR="00A667DE" w:rsidRPr="00922FAC">
        <w:rPr>
          <w:b/>
          <w:u w:val="single"/>
        </w:rPr>
        <w:t>Arancelarias</w:t>
      </w:r>
      <w:r w:rsidRPr="00922FAC">
        <w:rPr>
          <w:b/>
          <w:u w:val="single"/>
        </w:rPr>
        <w:t>:</w:t>
      </w:r>
      <w:r>
        <w:t xml:space="preserve"> </w:t>
      </w:r>
      <w:r w:rsidR="00F21E36">
        <w:t xml:space="preserve">Indica las regulaciones y restricciones no arancelarias que deben </w:t>
      </w:r>
      <w:r>
        <w:t xml:space="preserve">cumplir </w:t>
      </w:r>
      <w:r w:rsidR="00F21E36">
        <w:t xml:space="preserve">las fracciones arancelarias vigentes, como son </w:t>
      </w:r>
      <w:r>
        <w:t>permiso</w:t>
      </w:r>
      <w:r w:rsidR="00F21E36">
        <w:t>s</w:t>
      </w:r>
      <w:r>
        <w:t>, aviso</w:t>
      </w:r>
      <w:r w:rsidR="00F21E36">
        <w:t>s</w:t>
      </w:r>
      <w:r w:rsidR="00A667DE">
        <w:t xml:space="preserve">, </w:t>
      </w:r>
      <w:r w:rsidR="00F21E36">
        <w:t>licencias</w:t>
      </w:r>
      <w:r>
        <w:t xml:space="preserve"> o </w:t>
      </w:r>
      <w:r w:rsidR="00A667DE">
        <w:t>autorizaci</w:t>
      </w:r>
      <w:r w:rsidR="00F21E36">
        <w:t>ones</w:t>
      </w:r>
      <w:r w:rsidR="00A667DE">
        <w:t xml:space="preserve"> por parte de la Secretaría de Economía o alguna otra dependencia de la Administración Pública Federal </w:t>
      </w:r>
      <w:r w:rsidR="00DF41C8">
        <w:t>a la</w:t>
      </w:r>
      <w:r>
        <w:t xml:space="preserve"> entrada o salida del país.</w:t>
      </w:r>
    </w:p>
    <w:p w:rsidR="00A667DE" w:rsidRDefault="00F21E36" w:rsidP="00922FAC">
      <w:pPr>
        <w:spacing w:after="160" w:line="259" w:lineRule="auto"/>
        <w:ind w:left="285" w:firstLine="708"/>
        <w:jc w:val="both"/>
      </w:pPr>
      <w:r>
        <w:t xml:space="preserve">Este apartado </w:t>
      </w:r>
      <w:r w:rsidR="00883AAE">
        <w:t>indica las fracciones arancelarias</w:t>
      </w:r>
      <w:r w:rsidR="00A667DE">
        <w:t xml:space="preserve"> sujetas a Normas Oficiales Mexicanas.</w:t>
      </w:r>
    </w:p>
    <w:p w:rsidR="00922FAC" w:rsidRDefault="00922FAC" w:rsidP="00922FAC">
      <w:pPr>
        <w:spacing w:line="259" w:lineRule="auto"/>
        <w:jc w:val="both"/>
        <w:rPr>
          <w:b/>
          <w:u w:val="single"/>
        </w:rPr>
      </w:pPr>
    </w:p>
    <w:p w:rsidR="00922FAC" w:rsidRPr="00F21E36" w:rsidRDefault="00A667DE" w:rsidP="00143D71">
      <w:pPr>
        <w:pStyle w:val="Prrafodelista"/>
        <w:numPr>
          <w:ilvl w:val="0"/>
          <w:numId w:val="25"/>
        </w:numPr>
        <w:spacing w:line="259" w:lineRule="auto"/>
        <w:ind w:left="993" w:hanging="284"/>
        <w:jc w:val="both"/>
        <w:rPr>
          <w:b/>
        </w:rPr>
      </w:pPr>
      <w:r w:rsidRPr="00922FAC">
        <w:rPr>
          <w:b/>
          <w:u w:val="single"/>
        </w:rPr>
        <w:t xml:space="preserve">Regulaciones </w:t>
      </w:r>
      <w:r w:rsidR="008A209A">
        <w:rPr>
          <w:b/>
          <w:u w:val="single"/>
        </w:rPr>
        <w:t xml:space="preserve">próximas </w:t>
      </w:r>
      <w:r w:rsidRPr="00922FAC">
        <w:rPr>
          <w:b/>
          <w:u w:val="single"/>
        </w:rPr>
        <w:t>a entrar en vigor:</w:t>
      </w:r>
      <w:r>
        <w:t xml:space="preserve"> </w:t>
      </w:r>
      <w:r w:rsidR="00143D71">
        <w:t xml:space="preserve">En este apartado se incluirán las </w:t>
      </w:r>
      <w:r w:rsidR="008A209A">
        <w:t>regulaciones arancelarias y no arance</w:t>
      </w:r>
      <w:r w:rsidR="00F21E36">
        <w:t>larias por fracción arancelaria</w:t>
      </w:r>
      <w:r w:rsidR="008A209A">
        <w:t xml:space="preserve">, </w:t>
      </w:r>
      <w:r w:rsidR="008A209A" w:rsidRPr="00F21E36">
        <w:rPr>
          <w:b/>
        </w:rPr>
        <w:t xml:space="preserve">publicadas en el DOF, pero que aún no entran en vigor. </w:t>
      </w:r>
    </w:p>
    <w:p w:rsidR="008A209A" w:rsidRDefault="008A209A" w:rsidP="008A209A">
      <w:pPr>
        <w:pStyle w:val="Prrafodelista"/>
        <w:spacing w:line="259" w:lineRule="auto"/>
        <w:ind w:left="993"/>
        <w:jc w:val="both"/>
        <w:rPr>
          <w:b/>
          <w:u w:val="single"/>
        </w:rPr>
      </w:pPr>
    </w:p>
    <w:p w:rsidR="008A209A" w:rsidRDefault="008A209A" w:rsidP="008A209A">
      <w:pPr>
        <w:pStyle w:val="Prrafodelista"/>
        <w:spacing w:line="259" w:lineRule="auto"/>
        <w:ind w:left="993"/>
        <w:jc w:val="both"/>
      </w:pPr>
      <w:r w:rsidRPr="008A209A">
        <w:t xml:space="preserve">Una vez </w:t>
      </w:r>
      <w:r>
        <w:t xml:space="preserve">que se encuentren vigentes, pasarán a </w:t>
      </w:r>
      <w:r w:rsidR="00883AAE">
        <w:t>los apartados</w:t>
      </w:r>
      <w:r>
        <w:t xml:space="preserve"> del punto 1 o 2 según sea el caso.</w:t>
      </w:r>
    </w:p>
    <w:p w:rsidR="00922FAC" w:rsidRDefault="00922FAC" w:rsidP="00922FAC">
      <w:pPr>
        <w:pStyle w:val="Prrafodelista"/>
        <w:spacing w:line="259" w:lineRule="auto"/>
        <w:ind w:left="993"/>
        <w:jc w:val="both"/>
      </w:pPr>
    </w:p>
    <w:p w:rsidR="0059406F" w:rsidRPr="0053650B" w:rsidRDefault="00922FAC" w:rsidP="0053650B">
      <w:pPr>
        <w:spacing w:after="160" w:line="259" w:lineRule="auto"/>
        <w:jc w:val="both"/>
        <w:rPr>
          <w:b/>
        </w:rPr>
      </w:pPr>
      <w:r w:rsidRPr="0053650B">
        <w:rPr>
          <w:b/>
        </w:rPr>
        <w:t>¿</w:t>
      </w:r>
      <w:r w:rsidR="0059406F" w:rsidRPr="0053650B">
        <w:rPr>
          <w:b/>
        </w:rPr>
        <w:t>Cómo funciona?</w:t>
      </w:r>
    </w:p>
    <w:p w:rsidR="002B47BF" w:rsidRDefault="0059406F" w:rsidP="00143D71">
      <w:pPr>
        <w:spacing w:after="160" w:line="259" w:lineRule="auto"/>
        <w:jc w:val="both"/>
      </w:pPr>
      <w:r>
        <w:t xml:space="preserve">La </w:t>
      </w:r>
      <w:r w:rsidR="002B47BF">
        <w:t>información contenida en las bases de datos se actualizará por la Dirección de Nomenclatura Arancelaria de la Dirección General de Comercio Exterior a más tardar al día</w:t>
      </w:r>
      <w:r w:rsidR="00D35DA5">
        <w:t xml:space="preserve"> </w:t>
      </w:r>
      <w:r w:rsidR="002B47BF">
        <w:t>siguiente</w:t>
      </w:r>
      <w:r w:rsidR="00D35DA5">
        <w:t xml:space="preserve"> </w:t>
      </w:r>
      <w:r w:rsidR="002B47BF">
        <w:t>de la publicaci</w:t>
      </w:r>
      <w:r w:rsidR="00D35DA5">
        <w:t>ón en el DOF de</w:t>
      </w:r>
      <w:r w:rsidR="002B47BF">
        <w:t xml:space="preserve">: </w:t>
      </w:r>
    </w:p>
    <w:p w:rsidR="0059406F" w:rsidRDefault="00D35DA5" w:rsidP="002B47BF">
      <w:pPr>
        <w:pStyle w:val="Prrafodelista"/>
        <w:numPr>
          <w:ilvl w:val="2"/>
          <w:numId w:val="24"/>
        </w:numPr>
        <w:spacing w:after="160" w:line="259" w:lineRule="auto"/>
        <w:ind w:left="1134" w:hanging="425"/>
        <w:jc w:val="both"/>
      </w:pPr>
      <w:r>
        <w:t>La cre</w:t>
      </w:r>
      <w:r w:rsidR="00516B38">
        <w:t>ación</w:t>
      </w:r>
      <w:r w:rsidR="002B47BF">
        <w:t xml:space="preserve">, </w:t>
      </w:r>
      <w:r w:rsidR="00516B38">
        <w:t>modificación</w:t>
      </w:r>
      <w:r w:rsidR="002B47BF">
        <w:t xml:space="preserve"> o </w:t>
      </w:r>
      <w:r w:rsidR="00516B38">
        <w:t xml:space="preserve">eliminación </w:t>
      </w:r>
      <w:r w:rsidR="002B47BF">
        <w:t>de fracci</w:t>
      </w:r>
      <w:r w:rsidR="00A06594">
        <w:t>o</w:t>
      </w:r>
      <w:r w:rsidR="002B47BF">
        <w:t>n</w:t>
      </w:r>
      <w:r w:rsidR="00A06594">
        <w:t>es</w:t>
      </w:r>
      <w:r w:rsidR="002B47BF">
        <w:t xml:space="preserve"> arancelaria</w:t>
      </w:r>
      <w:r w:rsidR="00A06594">
        <w:t>s</w:t>
      </w:r>
      <w:r w:rsidR="002B47BF">
        <w:t xml:space="preserve"> de</w:t>
      </w:r>
      <w:r w:rsidR="00516B38">
        <w:t xml:space="preserve"> la TIGIE</w:t>
      </w:r>
      <w:r>
        <w:t>, así como cualquier cambio de aranceles.</w:t>
      </w:r>
    </w:p>
    <w:p w:rsidR="00D35DA5" w:rsidRDefault="00A06594" w:rsidP="00A06594">
      <w:pPr>
        <w:pStyle w:val="Prrafodelista"/>
        <w:numPr>
          <w:ilvl w:val="2"/>
          <w:numId w:val="24"/>
        </w:numPr>
        <w:spacing w:after="160" w:line="259" w:lineRule="auto"/>
        <w:ind w:left="1134" w:hanging="425"/>
        <w:jc w:val="both"/>
      </w:pPr>
      <w:r>
        <w:t xml:space="preserve">La </w:t>
      </w:r>
      <w:r w:rsidR="00D35DA5">
        <w:t xml:space="preserve">modificación a lo dispuesto por el </w:t>
      </w:r>
      <w:r>
        <w:t>Decreto PROSEC, el Decreto de Frontera, medida de Retaliación o cualquier Tratado o Acuerdo comercial suscrito por México que implique cambios arancelarios.</w:t>
      </w:r>
    </w:p>
    <w:p w:rsidR="00A06594" w:rsidRDefault="00A06594" w:rsidP="00A06594">
      <w:pPr>
        <w:pStyle w:val="Prrafodelista"/>
        <w:numPr>
          <w:ilvl w:val="2"/>
          <w:numId w:val="24"/>
        </w:numPr>
        <w:spacing w:after="160" w:line="259" w:lineRule="auto"/>
        <w:ind w:left="1134" w:hanging="425"/>
        <w:jc w:val="both"/>
      </w:pPr>
      <w:r>
        <w:t>La adición, modificación o eliminación de las fracciones arancelarias sujetas a medidas de regulación y restricción no arancelarias en los Acuerdos Secretariales correspondientes.</w:t>
      </w:r>
    </w:p>
    <w:p w:rsidR="008A209A" w:rsidRDefault="008A209A" w:rsidP="00091CAF">
      <w:pPr>
        <w:spacing w:after="120" w:line="240" w:lineRule="exact"/>
        <w:ind w:left="340" w:hanging="340"/>
        <w:jc w:val="center"/>
        <w:rPr>
          <w:b/>
        </w:rPr>
      </w:pPr>
    </w:p>
    <w:p w:rsidR="00B71AC8" w:rsidRPr="00922FAC" w:rsidRDefault="00DB23F2" w:rsidP="00091CAF">
      <w:pPr>
        <w:spacing w:after="120" w:line="240" w:lineRule="exact"/>
        <w:ind w:left="340" w:hanging="340"/>
        <w:jc w:val="center"/>
        <w:rPr>
          <w:b/>
          <w:color w:val="C00000"/>
        </w:rPr>
      </w:pPr>
      <w:r w:rsidRPr="00922FAC">
        <w:rPr>
          <w:b/>
          <w:color w:val="C00000"/>
        </w:rPr>
        <w:t>A</w:t>
      </w:r>
      <w:r w:rsidR="00B71AC8" w:rsidRPr="00922FAC">
        <w:rPr>
          <w:b/>
          <w:color w:val="C00000"/>
        </w:rPr>
        <w:t>nexo 1</w:t>
      </w:r>
    </w:p>
    <w:p w:rsidR="00B71AC8" w:rsidRDefault="00B71AC8" w:rsidP="00091CAF">
      <w:pPr>
        <w:spacing w:after="120" w:line="240" w:lineRule="exact"/>
        <w:ind w:left="340" w:hanging="340"/>
        <w:jc w:val="center"/>
        <w:rPr>
          <w:b/>
          <w:color w:val="C00000"/>
        </w:rPr>
      </w:pPr>
      <w:r w:rsidRPr="00922FAC">
        <w:rPr>
          <w:b/>
          <w:color w:val="C00000"/>
        </w:rPr>
        <w:t xml:space="preserve">Acrónimos </w:t>
      </w:r>
    </w:p>
    <w:p w:rsidR="00922FAC" w:rsidRPr="00922FAC" w:rsidRDefault="00922FAC" w:rsidP="00091CAF">
      <w:pPr>
        <w:spacing w:after="120" w:line="240" w:lineRule="exact"/>
        <w:ind w:left="340" w:hanging="340"/>
        <w:jc w:val="center"/>
        <w:rPr>
          <w:b/>
          <w:color w:val="C00000"/>
        </w:rPr>
      </w:pPr>
    </w:p>
    <w:p w:rsidR="00922FAC" w:rsidRDefault="00922FAC" w:rsidP="00091CAF">
      <w:pPr>
        <w:pStyle w:val="Prrafodelista"/>
        <w:numPr>
          <w:ilvl w:val="0"/>
          <w:numId w:val="21"/>
        </w:numPr>
        <w:spacing w:line="240" w:lineRule="exact"/>
        <w:jc w:val="both"/>
      </w:pPr>
      <w:r w:rsidRPr="00922FAC">
        <w:rPr>
          <w:b/>
        </w:rPr>
        <w:t>DOF:</w:t>
      </w:r>
      <w:r>
        <w:t xml:space="preserve"> Diario Oficial de la Federación. </w:t>
      </w:r>
    </w:p>
    <w:p w:rsidR="00922FAC" w:rsidRPr="00922FAC" w:rsidRDefault="00922FAC" w:rsidP="00922FAC">
      <w:pPr>
        <w:pStyle w:val="Prrafodelista"/>
        <w:spacing w:line="240" w:lineRule="exact"/>
        <w:jc w:val="both"/>
      </w:pPr>
    </w:p>
    <w:p w:rsidR="00091CAF" w:rsidRDefault="00091CAF" w:rsidP="00091CAF">
      <w:pPr>
        <w:pStyle w:val="Prrafodelista"/>
        <w:numPr>
          <w:ilvl w:val="0"/>
          <w:numId w:val="21"/>
        </w:numPr>
        <w:spacing w:line="240" w:lineRule="exact"/>
        <w:jc w:val="both"/>
      </w:pPr>
      <w:r w:rsidRPr="00091CAF">
        <w:rPr>
          <w:b/>
        </w:rPr>
        <w:t>PROSEC:</w:t>
      </w:r>
      <w:r>
        <w:rPr>
          <w:b/>
        </w:rPr>
        <w:t xml:space="preserve"> </w:t>
      </w:r>
      <w:r w:rsidRPr="00091CAF">
        <w:t>Programas de Promoción Sectorial.</w:t>
      </w:r>
    </w:p>
    <w:p w:rsidR="00901549" w:rsidRPr="00091CAF" w:rsidRDefault="00901549" w:rsidP="00901549">
      <w:pPr>
        <w:pStyle w:val="Prrafodelista"/>
        <w:spacing w:line="240" w:lineRule="exact"/>
        <w:jc w:val="both"/>
      </w:pPr>
    </w:p>
    <w:p w:rsidR="0059406F" w:rsidRDefault="00B71AC8" w:rsidP="00091CAF">
      <w:pPr>
        <w:pStyle w:val="Prrafodelista"/>
        <w:numPr>
          <w:ilvl w:val="0"/>
          <w:numId w:val="21"/>
        </w:numPr>
        <w:spacing w:line="240" w:lineRule="exact"/>
        <w:jc w:val="both"/>
      </w:pPr>
      <w:r w:rsidRPr="00091CAF">
        <w:rPr>
          <w:b/>
        </w:rPr>
        <w:t>RA</w:t>
      </w:r>
      <w:r w:rsidR="00B45B26">
        <w:rPr>
          <w:b/>
        </w:rPr>
        <w:t>’s</w:t>
      </w:r>
      <w:r w:rsidRPr="00091CAF">
        <w:rPr>
          <w:b/>
        </w:rPr>
        <w:t>:</w:t>
      </w:r>
      <w:r w:rsidRPr="00DB23F2">
        <w:t xml:space="preserve"> </w:t>
      </w:r>
      <w:r w:rsidR="0059406F" w:rsidRPr="00DB23F2">
        <w:t xml:space="preserve">Regulaciones </w:t>
      </w:r>
      <w:r w:rsidRPr="00DB23F2">
        <w:t>Arancelarias</w:t>
      </w:r>
      <w:r w:rsidR="009807E4" w:rsidRPr="00091CAF">
        <w:t xml:space="preserve">. </w:t>
      </w:r>
    </w:p>
    <w:p w:rsidR="00901549" w:rsidRDefault="00901549" w:rsidP="00901549">
      <w:pPr>
        <w:pStyle w:val="Prrafodelista"/>
      </w:pPr>
    </w:p>
    <w:p w:rsidR="0059406F" w:rsidRDefault="0059406F" w:rsidP="00091CAF">
      <w:pPr>
        <w:pStyle w:val="Prrafodelista"/>
        <w:numPr>
          <w:ilvl w:val="0"/>
          <w:numId w:val="21"/>
        </w:numPr>
        <w:spacing w:line="240" w:lineRule="exact"/>
        <w:jc w:val="both"/>
      </w:pPr>
      <w:r w:rsidRPr="00091CAF">
        <w:rPr>
          <w:b/>
        </w:rPr>
        <w:t>R</w:t>
      </w:r>
      <w:r w:rsidR="00DB23F2" w:rsidRPr="00091CAF">
        <w:rPr>
          <w:b/>
        </w:rPr>
        <w:t>RNA’s:</w:t>
      </w:r>
      <w:r w:rsidR="00DB23F2">
        <w:t xml:space="preserve"> Regulaciones y Restricciones no Arancelarias. </w:t>
      </w:r>
    </w:p>
    <w:p w:rsidR="002B47BF" w:rsidRDefault="002B47BF" w:rsidP="002B47BF">
      <w:pPr>
        <w:pStyle w:val="Prrafodelista"/>
      </w:pPr>
    </w:p>
    <w:p w:rsidR="002B47BF" w:rsidRPr="002B47BF" w:rsidRDefault="002B47BF" w:rsidP="00091CAF">
      <w:pPr>
        <w:pStyle w:val="Prrafodelista"/>
        <w:numPr>
          <w:ilvl w:val="0"/>
          <w:numId w:val="21"/>
        </w:numPr>
        <w:spacing w:line="240" w:lineRule="exact"/>
        <w:jc w:val="both"/>
        <w:rPr>
          <w:b/>
        </w:rPr>
      </w:pPr>
      <w:r w:rsidRPr="002B47BF">
        <w:rPr>
          <w:b/>
        </w:rPr>
        <w:t xml:space="preserve">TIGIE: </w:t>
      </w:r>
      <w:r w:rsidRPr="002B47BF">
        <w:t>Tarifa de la Ley de los Impuestos Generales de Importación y Exportación.</w:t>
      </w:r>
    </w:p>
    <w:p w:rsidR="0059406F" w:rsidRDefault="0059406F" w:rsidP="00091CAF">
      <w:pPr>
        <w:pStyle w:val="Prrafodelista"/>
        <w:spacing w:line="240" w:lineRule="exact"/>
      </w:pPr>
    </w:p>
    <w:p w:rsidR="002B47BF" w:rsidRDefault="002B47BF" w:rsidP="00091CAF">
      <w:pPr>
        <w:spacing w:after="120" w:line="240" w:lineRule="exact"/>
        <w:ind w:left="340" w:hanging="340"/>
        <w:jc w:val="center"/>
        <w:rPr>
          <w:rFonts w:ascii="Arial" w:hAnsi="Arial" w:cs="Arial"/>
          <w:b/>
          <w:color w:val="C00000"/>
          <w:sz w:val="21"/>
          <w:szCs w:val="21"/>
        </w:rPr>
      </w:pPr>
    </w:p>
    <w:p w:rsidR="00091CAF" w:rsidRPr="00922FAC" w:rsidRDefault="00091CAF" w:rsidP="00091CAF">
      <w:pPr>
        <w:spacing w:after="120" w:line="240" w:lineRule="exact"/>
        <w:ind w:left="340" w:hanging="340"/>
        <w:jc w:val="center"/>
        <w:rPr>
          <w:b/>
          <w:color w:val="C00000"/>
        </w:rPr>
      </w:pPr>
      <w:r w:rsidRPr="00922FAC">
        <w:rPr>
          <w:b/>
          <w:color w:val="C00000"/>
        </w:rPr>
        <w:t>Anexo 2</w:t>
      </w:r>
    </w:p>
    <w:p w:rsidR="00091CAF" w:rsidRPr="00922FAC" w:rsidRDefault="00091CAF" w:rsidP="00091CAF">
      <w:pPr>
        <w:spacing w:after="120" w:line="240" w:lineRule="exact"/>
        <w:ind w:left="340" w:hanging="340"/>
        <w:jc w:val="center"/>
        <w:rPr>
          <w:b/>
          <w:color w:val="C00000"/>
        </w:rPr>
      </w:pPr>
      <w:r w:rsidRPr="00922FAC">
        <w:rPr>
          <w:b/>
          <w:color w:val="C00000"/>
        </w:rPr>
        <w:t xml:space="preserve">Definiciones  </w:t>
      </w:r>
    </w:p>
    <w:p w:rsidR="00922FAC" w:rsidRPr="00922FAC" w:rsidRDefault="00922FAC" w:rsidP="00922FAC">
      <w:pPr>
        <w:pStyle w:val="Prrafodelista"/>
        <w:spacing w:line="240" w:lineRule="exact"/>
        <w:jc w:val="both"/>
      </w:pPr>
    </w:p>
    <w:p w:rsidR="00554D13" w:rsidRPr="00554D13" w:rsidRDefault="00554D13" w:rsidP="00554D13">
      <w:pPr>
        <w:pStyle w:val="Prrafodelista"/>
        <w:numPr>
          <w:ilvl w:val="0"/>
          <w:numId w:val="22"/>
        </w:numPr>
        <w:spacing w:line="240" w:lineRule="exact"/>
        <w:jc w:val="both"/>
      </w:pPr>
      <w:r w:rsidRPr="00554D13">
        <w:rPr>
          <w:b/>
        </w:rPr>
        <w:t xml:space="preserve">Acuerdo de Café: </w:t>
      </w:r>
      <w:r w:rsidRPr="00554D13">
        <w:t>Acuerdo por el que se establece la clasificación y codificación de mercancías cuya exportación está sujeta a la presentación de un Certificado de Origen expedido por la Asociación Mexicana de la Cadena Productiva del Café, A.C., y el procedimiento para la emisión del Certificado de Origen.</w:t>
      </w:r>
    </w:p>
    <w:p w:rsidR="00554D13" w:rsidRDefault="00554D13" w:rsidP="00554D13">
      <w:pPr>
        <w:pStyle w:val="Prrafodelista"/>
        <w:spacing w:line="240" w:lineRule="exact"/>
        <w:jc w:val="both"/>
        <w:rPr>
          <w:b/>
        </w:rPr>
      </w:pPr>
    </w:p>
    <w:p w:rsidR="00901549" w:rsidRPr="00AE2F23" w:rsidRDefault="00901549" w:rsidP="00901549">
      <w:pPr>
        <w:pStyle w:val="Prrafodelista"/>
        <w:numPr>
          <w:ilvl w:val="0"/>
          <w:numId w:val="22"/>
        </w:numPr>
        <w:spacing w:line="240" w:lineRule="exact"/>
        <w:jc w:val="both"/>
        <w:rPr>
          <w:b/>
        </w:rPr>
      </w:pPr>
      <w:r>
        <w:rPr>
          <w:b/>
        </w:rPr>
        <w:t>Acuerdo de CICOPLAFEST:</w:t>
      </w:r>
      <w:r w:rsidR="00554D13">
        <w:rPr>
          <w:b/>
        </w:rPr>
        <w:t xml:space="preserve"> </w:t>
      </w:r>
      <w:r w:rsidR="00554D13" w:rsidRPr="00554D13">
        <w:t>Acuerdo que establece la clasificación y codificación de mercancías cuya importación y exportación está sujeta a regulación por parte de las dependencias que integran la Comisión Intersecretarial para el Control del Proceso y Uso de Plaguicidas, Fertilizantes y Sustancias Tóxicas</w:t>
      </w:r>
      <w:r w:rsidR="00554D13">
        <w:t xml:space="preserve">. </w:t>
      </w:r>
    </w:p>
    <w:p w:rsidR="00AE2F23" w:rsidRPr="00AE2F23" w:rsidRDefault="00AE2F23" w:rsidP="00AE2F23">
      <w:pPr>
        <w:pStyle w:val="Prrafodelista"/>
        <w:rPr>
          <w:b/>
        </w:rPr>
      </w:pPr>
    </w:p>
    <w:p w:rsidR="004D74FA" w:rsidRPr="004D74FA" w:rsidRDefault="00AE2F23" w:rsidP="004D74FA">
      <w:pPr>
        <w:pStyle w:val="Prrafodelista"/>
        <w:numPr>
          <w:ilvl w:val="0"/>
          <w:numId w:val="22"/>
        </w:numPr>
        <w:spacing w:line="240" w:lineRule="exact"/>
        <w:jc w:val="both"/>
        <w:rPr>
          <w:b/>
        </w:rPr>
      </w:pPr>
      <w:r>
        <w:rPr>
          <w:b/>
        </w:rPr>
        <w:t xml:space="preserve">Acuerdo de Control de Exportaciones: </w:t>
      </w:r>
      <w:r w:rsidR="004D74FA">
        <w:t>Acuerdo por el que se sujeta al requisito de permiso previo por parte de la Secretaría de Economía la exportación de armas convencionales, sus partes y componentes, bienes de uso dual, software y tecnologías susceptibles de desvío para la fabricación y proliferación de armas convencionales y de destrucción masiva</w:t>
      </w:r>
    </w:p>
    <w:p w:rsidR="00AE2F23" w:rsidRPr="00AE2F23" w:rsidRDefault="00AE2F23" w:rsidP="00AE2F23">
      <w:pPr>
        <w:pStyle w:val="Prrafodelista"/>
        <w:rPr>
          <w:b/>
        </w:rPr>
      </w:pPr>
    </w:p>
    <w:p w:rsidR="00AE2F23" w:rsidRPr="00B16527" w:rsidRDefault="00AE2F23" w:rsidP="00AE2F23">
      <w:pPr>
        <w:pStyle w:val="Prrafodelista"/>
        <w:numPr>
          <w:ilvl w:val="0"/>
          <w:numId w:val="22"/>
        </w:numPr>
        <w:spacing w:line="240" w:lineRule="exact"/>
        <w:jc w:val="both"/>
      </w:pPr>
      <w:r w:rsidRPr="00B16527">
        <w:rPr>
          <w:b/>
        </w:rPr>
        <w:t xml:space="preserve">Acuerdo de Cultura: </w:t>
      </w:r>
      <w:r w:rsidRPr="00B16527">
        <w:t>Acuerdo que establece la clasificación y codificación de los bienes considerados monumentos históricos o artísticos, cuya exportación está sujeta a autorización previa de exportación por parte del Instituto Nacional de Antropología e Historia, o del Instituto Nacional de Bellas Artes y Literatura.</w:t>
      </w:r>
    </w:p>
    <w:p w:rsidR="00AE2F23" w:rsidRPr="00554D13" w:rsidRDefault="00AE2F23" w:rsidP="00AE2F23">
      <w:pPr>
        <w:pStyle w:val="Prrafodelista"/>
        <w:spacing w:line="240" w:lineRule="exact"/>
        <w:jc w:val="both"/>
        <w:rPr>
          <w:b/>
        </w:rPr>
      </w:pPr>
    </w:p>
    <w:p w:rsidR="00901549" w:rsidRPr="00452053" w:rsidRDefault="00901549" w:rsidP="00901549">
      <w:pPr>
        <w:pStyle w:val="Prrafodelista"/>
        <w:numPr>
          <w:ilvl w:val="0"/>
          <w:numId w:val="22"/>
        </w:numPr>
        <w:spacing w:line="240" w:lineRule="exact"/>
        <w:jc w:val="both"/>
        <w:rPr>
          <w:b/>
        </w:rPr>
      </w:pPr>
      <w:r>
        <w:rPr>
          <w:b/>
        </w:rPr>
        <w:t>Acuerdo de Embargos:</w:t>
      </w:r>
      <w:r w:rsidR="00554D13" w:rsidRPr="00554D13">
        <w:rPr>
          <w:b/>
        </w:rPr>
        <w:t xml:space="preserve"> </w:t>
      </w:r>
      <w:r w:rsidR="00554D13" w:rsidRPr="00554D13">
        <w:t>Acuerdo mediante el cual se prohíbe la exportación o la importación de diversas mercancías a los países, entidades y personas que se indican</w:t>
      </w:r>
      <w:r w:rsidR="00554D13">
        <w:t>.</w:t>
      </w:r>
    </w:p>
    <w:p w:rsidR="00452053" w:rsidRPr="00452053" w:rsidRDefault="00452053" w:rsidP="00452053">
      <w:pPr>
        <w:pStyle w:val="Prrafodelista"/>
        <w:rPr>
          <w:b/>
        </w:rPr>
      </w:pPr>
    </w:p>
    <w:p w:rsidR="00452053" w:rsidRPr="00452053" w:rsidRDefault="00452053" w:rsidP="00452053">
      <w:pPr>
        <w:pStyle w:val="Prrafodelista"/>
        <w:numPr>
          <w:ilvl w:val="0"/>
          <w:numId w:val="22"/>
        </w:numPr>
        <w:spacing w:line="240" w:lineRule="exact"/>
        <w:jc w:val="both"/>
        <w:rPr>
          <w:b/>
          <w:u w:val="single"/>
        </w:rPr>
      </w:pPr>
      <w:r w:rsidRPr="00452053">
        <w:rPr>
          <w:b/>
        </w:rPr>
        <w:t>Acuerdo de exportación de Azúcar:</w:t>
      </w:r>
      <w:r w:rsidRPr="00452053">
        <w:t xml:space="preserve"> Acuerdo por el que se sujeta a permiso previo la exportación de azúcar y se establece un cupo máximo para su exportación.</w:t>
      </w:r>
    </w:p>
    <w:p w:rsidR="00554D13" w:rsidRPr="00554D13" w:rsidRDefault="00554D13" w:rsidP="00554D13">
      <w:pPr>
        <w:pStyle w:val="Prrafodelista"/>
        <w:rPr>
          <w:b/>
        </w:rPr>
      </w:pPr>
    </w:p>
    <w:p w:rsidR="00901549" w:rsidRPr="00554D13" w:rsidRDefault="00901549" w:rsidP="00901549">
      <w:pPr>
        <w:pStyle w:val="Prrafodelista"/>
        <w:numPr>
          <w:ilvl w:val="0"/>
          <w:numId w:val="22"/>
        </w:numPr>
        <w:spacing w:line="240" w:lineRule="exact"/>
        <w:jc w:val="both"/>
        <w:rPr>
          <w:b/>
        </w:rPr>
      </w:pPr>
      <w:r>
        <w:rPr>
          <w:b/>
        </w:rPr>
        <w:t>Acuerdo de Hidrocarburos:</w:t>
      </w:r>
      <w:r w:rsidR="00554D13">
        <w:rPr>
          <w:b/>
        </w:rPr>
        <w:t xml:space="preserve"> </w:t>
      </w:r>
      <w:r w:rsidR="00554D13" w:rsidRPr="00554D13">
        <w:t>Acuerdo por el que se establece la clasificación y codificación de Hidrocarburos y Petrolíferos cuya importación y exportación está sujeta a Permiso Previo por parte de la Secretaría de Energía</w:t>
      </w:r>
      <w:r w:rsidR="00554D13">
        <w:t xml:space="preserve">. </w:t>
      </w:r>
    </w:p>
    <w:p w:rsidR="00554D13" w:rsidRPr="00554D13" w:rsidRDefault="00554D13" w:rsidP="00554D13">
      <w:pPr>
        <w:pStyle w:val="Prrafodelista"/>
        <w:rPr>
          <w:b/>
        </w:rPr>
      </w:pPr>
    </w:p>
    <w:p w:rsidR="00901549" w:rsidRPr="00B16527" w:rsidRDefault="00E959AB" w:rsidP="00901549">
      <w:pPr>
        <w:pStyle w:val="Prrafodelista"/>
        <w:numPr>
          <w:ilvl w:val="0"/>
          <w:numId w:val="22"/>
        </w:numPr>
        <w:spacing w:line="240" w:lineRule="exact"/>
        <w:jc w:val="both"/>
        <w:rPr>
          <w:b/>
        </w:rPr>
      </w:pPr>
      <w:r>
        <w:rPr>
          <w:b/>
        </w:rPr>
        <w:t xml:space="preserve"> </w:t>
      </w:r>
      <w:r w:rsidR="00901549">
        <w:rPr>
          <w:b/>
        </w:rPr>
        <w:t xml:space="preserve">Acuerdo de Químicos Esenciales: </w:t>
      </w:r>
      <w:r w:rsidR="00554D13" w:rsidRPr="00554D13">
        <w:t>Acuerdo que establece la clasificación y codificación de los productos químicos esenciales cuya importación o exportación está sujeta a la presentación de un aviso previo ante la Secretaría de Salud</w:t>
      </w:r>
      <w:r w:rsidR="00554D13">
        <w:t xml:space="preserve">. </w:t>
      </w:r>
    </w:p>
    <w:p w:rsidR="00B16527" w:rsidRPr="00B16527" w:rsidRDefault="00B16527" w:rsidP="00B16527">
      <w:pPr>
        <w:pStyle w:val="Prrafodelista"/>
        <w:rPr>
          <w:b/>
        </w:rPr>
      </w:pPr>
    </w:p>
    <w:p w:rsidR="00B16527" w:rsidRPr="00554D13" w:rsidRDefault="00B16527" w:rsidP="00901549">
      <w:pPr>
        <w:pStyle w:val="Prrafodelista"/>
        <w:numPr>
          <w:ilvl w:val="0"/>
          <w:numId w:val="22"/>
        </w:numPr>
        <w:spacing w:line="240" w:lineRule="exact"/>
        <w:jc w:val="both"/>
        <w:rPr>
          <w:b/>
        </w:rPr>
      </w:pPr>
      <w:r>
        <w:rPr>
          <w:b/>
        </w:rPr>
        <w:t xml:space="preserve">Acuerdo de Reglas: </w:t>
      </w:r>
      <w:r>
        <w:t>Acuerdo por el que la Secretaría de Economía emite reglas y criterios de carácter general en materia de comercio exterior.</w:t>
      </w:r>
    </w:p>
    <w:p w:rsidR="00554D13" w:rsidRDefault="00554D13" w:rsidP="00554D13">
      <w:pPr>
        <w:pStyle w:val="Prrafodelista"/>
        <w:spacing w:line="240" w:lineRule="exact"/>
        <w:jc w:val="both"/>
        <w:rPr>
          <w:b/>
        </w:rPr>
      </w:pPr>
    </w:p>
    <w:p w:rsidR="00901549" w:rsidRDefault="00901549" w:rsidP="00901549">
      <w:pPr>
        <w:pStyle w:val="Prrafodelista"/>
        <w:numPr>
          <w:ilvl w:val="0"/>
          <w:numId w:val="22"/>
        </w:numPr>
        <w:spacing w:line="240" w:lineRule="exact"/>
        <w:jc w:val="both"/>
        <w:rPr>
          <w:b/>
        </w:rPr>
      </w:pPr>
      <w:r>
        <w:rPr>
          <w:b/>
        </w:rPr>
        <w:t>Acuerdo de SAGARPA:</w:t>
      </w:r>
      <w:r w:rsidR="00554D13">
        <w:rPr>
          <w:b/>
        </w:rPr>
        <w:t xml:space="preserve"> </w:t>
      </w:r>
      <w:r w:rsidR="00554D13" w:rsidRPr="00554D13">
        <w:t>Acuerdo que establece la clasificación y codificación de mercancías cuya importación está sujeta a regulación por parte de la Secretaría de Agricultura, Ganadería, Desarrollo Rural, Pesca y Alimentación, a través del Servicio Nacional de Sanidad, Inocuidad y Calidad Agroalimentaria</w:t>
      </w:r>
      <w:r w:rsidR="00554D13">
        <w:t>.</w:t>
      </w:r>
    </w:p>
    <w:p w:rsidR="00554D13" w:rsidRDefault="00554D13" w:rsidP="00554D13">
      <w:pPr>
        <w:pStyle w:val="Prrafodelista"/>
        <w:spacing w:line="240" w:lineRule="exact"/>
        <w:jc w:val="both"/>
        <w:rPr>
          <w:b/>
        </w:rPr>
      </w:pPr>
    </w:p>
    <w:p w:rsidR="00901549" w:rsidRPr="00554D13" w:rsidRDefault="00901549" w:rsidP="003F3288">
      <w:pPr>
        <w:pStyle w:val="Prrafodelista"/>
        <w:numPr>
          <w:ilvl w:val="0"/>
          <w:numId w:val="22"/>
        </w:numPr>
        <w:spacing w:line="240" w:lineRule="exact"/>
        <w:jc w:val="both"/>
        <w:rPr>
          <w:b/>
        </w:rPr>
      </w:pPr>
      <w:r>
        <w:rPr>
          <w:b/>
        </w:rPr>
        <w:t xml:space="preserve">Acuerdo de SALUD: </w:t>
      </w:r>
      <w:r w:rsidR="00554D13" w:rsidRPr="00554D13">
        <w:t>Acuerdo que establece la clasificación y codificación de mercancías y productos cuya importación, exportación, internación o salida está sujeta a regulación sanitaria por parte de la Secretaría de Salud</w:t>
      </w:r>
      <w:r w:rsidR="00554D13">
        <w:t xml:space="preserve">. </w:t>
      </w:r>
    </w:p>
    <w:p w:rsidR="00554D13" w:rsidRDefault="00554D13" w:rsidP="00554D13">
      <w:pPr>
        <w:pStyle w:val="Prrafodelista"/>
        <w:spacing w:line="240" w:lineRule="exact"/>
        <w:jc w:val="both"/>
        <w:rPr>
          <w:b/>
        </w:rPr>
      </w:pPr>
    </w:p>
    <w:p w:rsidR="00901549" w:rsidRDefault="00901549" w:rsidP="003F3288">
      <w:pPr>
        <w:pStyle w:val="Prrafodelista"/>
        <w:numPr>
          <w:ilvl w:val="0"/>
          <w:numId w:val="22"/>
        </w:numPr>
        <w:spacing w:line="240" w:lineRule="exact"/>
        <w:jc w:val="both"/>
        <w:rPr>
          <w:b/>
        </w:rPr>
      </w:pPr>
      <w:r w:rsidRPr="00901549">
        <w:rPr>
          <w:b/>
        </w:rPr>
        <w:t xml:space="preserve">Acuerdo de SEDENA: </w:t>
      </w:r>
      <w:r w:rsidR="00554D13" w:rsidRPr="00554D13">
        <w:t>Acuerdo que establece la clasificación y codificación de las mercancías cuya importación o exportación están sujetas a regulación por parte de la Secretaría de la Defensa Nacional</w:t>
      </w:r>
      <w:r w:rsidR="00554D13">
        <w:t>.</w:t>
      </w:r>
    </w:p>
    <w:p w:rsidR="00554D13" w:rsidRPr="00554D13" w:rsidRDefault="00554D13" w:rsidP="00554D13">
      <w:pPr>
        <w:pStyle w:val="Prrafodelista"/>
        <w:rPr>
          <w:b/>
        </w:rPr>
      </w:pPr>
    </w:p>
    <w:p w:rsidR="00901549" w:rsidRDefault="00901549" w:rsidP="00901549">
      <w:pPr>
        <w:pStyle w:val="Prrafodelista"/>
        <w:numPr>
          <w:ilvl w:val="0"/>
          <w:numId w:val="22"/>
        </w:numPr>
        <w:spacing w:line="240" w:lineRule="exact"/>
        <w:jc w:val="both"/>
        <w:rPr>
          <w:b/>
        </w:rPr>
      </w:pPr>
      <w:r>
        <w:rPr>
          <w:b/>
        </w:rPr>
        <w:t>Acuerdo de SEMARNAT:</w:t>
      </w:r>
      <w:r w:rsidR="00554D13">
        <w:rPr>
          <w:b/>
        </w:rPr>
        <w:t xml:space="preserve"> </w:t>
      </w:r>
      <w:r w:rsidR="00554D13" w:rsidRPr="00554D13">
        <w:t>Acuerdo que establece la clasificación y codificación de mercancías cuya importación y exportación está sujeta a regulación por parte de la Secretaría de Medio Ambiente y Recursos Naturales</w:t>
      </w:r>
      <w:r w:rsidR="00554D13">
        <w:t>.</w:t>
      </w:r>
    </w:p>
    <w:p w:rsidR="00554D13" w:rsidRPr="00554D13" w:rsidRDefault="00554D13" w:rsidP="00554D13">
      <w:pPr>
        <w:pStyle w:val="Prrafodelista"/>
        <w:rPr>
          <w:b/>
        </w:rPr>
      </w:pPr>
    </w:p>
    <w:p w:rsidR="00901549" w:rsidRPr="00554D13" w:rsidRDefault="00901549" w:rsidP="00901549">
      <w:pPr>
        <w:pStyle w:val="Prrafodelista"/>
        <w:numPr>
          <w:ilvl w:val="0"/>
          <w:numId w:val="22"/>
        </w:numPr>
        <w:spacing w:line="240" w:lineRule="exact"/>
        <w:jc w:val="both"/>
        <w:rPr>
          <w:b/>
        </w:rPr>
      </w:pPr>
      <w:r>
        <w:rPr>
          <w:b/>
        </w:rPr>
        <w:t xml:space="preserve">Acuerdo de SENER: </w:t>
      </w:r>
      <w:r w:rsidR="00554D13" w:rsidRPr="00554D13">
        <w:t>Acuerdo que establece la clasificación y codificación de mercancías cuya importación y exportación está sujeta a autorización por parte de la Secretaría de Energía</w:t>
      </w:r>
      <w:r w:rsidR="00554D13">
        <w:t>.</w:t>
      </w:r>
    </w:p>
    <w:p w:rsidR="00554D13" w:rsidRPr="00554D13" w:rsidRDefault="00554D13" w:rsidP="00554D13">
      <w:pPr>
        <w:pStyle w:val="Prrafodelista"/>
        <w:rPr>
          <w:b/>
        </w:rPr>
      </w:pPr>
    </w:p>
    <w:p w:rsidR="00554D13" w:rsidRPr="00452053" w:rsidRDefault="00554D13" w:rsidP="00554D13">
      <w:pPr>
        <w:pStyle w:val="Prrafodelista"/>
        <w:numPr>
          <w:ilvl w:val="0"/>
          <w:numId w:val="22"/>
        </w:numPr>
        <w:spacing w:line="240" w:lineRule="exact"/>
        <w:jc w:val="both"/>
        <w:rPr>
          <w:b/>
        </w:rPr>
      </w:pPr>
      <w:r>
        <w:rPr>
          <w:b/>
        </w:rPr>
        <w:t xml:space="preserve">Anexo de NOM’s: </w:t>
      </w:r>
      <w:r w:rsidR="00B16527">
        <w:t>Anexo 2.4.1 “F</w:t>
      </w:r>
      <w:r w:rsidRPr="00554D13">
        <w:t>racciones arancelarias de la Tarifa de la Ley de los Impuestos Generales de Importación y de Exportación en las que se clasifican las mercancías sujetas al cumplimiento de las Normas Oficiales Mexicanas en el punto de su entrada al país, y en el de su salida</w:t>
      </w:r>
      <w:r w:rsidR="00B16527">
        <w:t>” del Acuerdo de Reglas.</w:t>
      </w:r>
    </w:p>
    <w:p w:rsidR="00452053" w:rsidRPr="00452053" w:rsidRDefault="00452053" w:rsidP="00452053">
      <w:pPr>
        <w:pStyle w:val="Prrafodelista"/>
        <w:rPr>
          <w:b/>
        </w:rPr>
      </w:pPr>
    </w:p>
    <w:p w:rsidR="00452053" w:rsidRPr="00452053" w:rsidRDefault="00452053" w:rsidP="00452053">
      <w:pPr>
        <w:pStyle w:val="Prrafodelista"/>
        <w:numPr>
          <w:ilvl w:val="0"/>
          <w:numId w:val="22"/>
        </w:numPr>
        <w:spacing w:line="240" w:lineRule="exact"/>
        <w:jc w:val="both"/>
      </w:pPr>
      <w:r w:rsidRPr="00452053">
        <w:rPr>
          <w:b/>
        </w:rPr>
        <w:t xml:space="preserve">Anexo de Permisos/Avisos Previos: </w:t>
      </w:r>
      <w:r w:rsidRPr="00452053">
        <w:t xml:space="preserve">Anexo 2.2.1 </w:t>
      </w:r>
      <w:r w:rsidR="00B16527">
        <w:t>“</w:t>
      </w:r>
      <w:r w:rsidRPr="00452053">
        <w:t>Clasificación y codificación de mercancías cuya importación y exportación está sujeta al requisito de permiso previo por par</w:t>
      </w:r>
      <w:r w:rsidR="00B16527">
        <w:t>te de la Secretaría de Economía” del Acuerdo de Reglas</w:t>
      </w:r>
      <w:r w:rsidRPr="00452053">
        <w:t>.</w:t>
      </w:r>
    </w:p>
    <w:p w:rsidR="00901549" w:rsidRPr="00901549" w:rsidRDefault="00901549" w:rsidP="00901549">
      <w:pPr>
        <w:pStyle w:val="Prrafodelista"/>
        <w:spacing w:line="240" w:lineRule="exact"/>
        <w:jc w:val="both"/>
      </w:pPr>
    </w:p>
    <w:p w:rsidR="00901549" w:rsidRDefault="00901549" w:rsidP="00901549">
      <w:pPr>
        <w:pStyle w:val="Prrafodelista"/>
        <w:numPr>
          <w:ilvl w:val="0"/>
          <w:numId w:val="22"/>
        </w:numPr>
        <w:spacing w:line="240" w:lineRule="exact"/>
        <w:jc w:val="both"/>
      </w:pPr>
      <w:r w:rsidRPr="00901549">
        <w:rPr>
          <w:b/>
        </w:rPr>
        <w:t>Decreto de Frontera:</w:t>
      </w:r>
      <w:r>
        <w:t xml:space="preserve"> Decreto por el que se establece el impuesto general de importación para la región fronteriza y la Franja Fronteriza Norte, publicado en el DOF el 24 de diciembre de 2008 y sus posteriores modificaciones.</w:t>
      </w:r>
    </w:p>
    <w:p w:rsidR="00901549" w:rsidRPr="00901549" w:rsidRDefault="00901549" w:rsidP="00901549">
      <w:pPr>
        <w:pStyle w:val="Prrafodelista"/>
        <w:spacing w:line="240" w:lineRule="exact"/>
        <w:jc w:val="both"/>
      </w:pPr>
    </w:p>
    <w:p w:rsidR="00901549" w:rsidRDefault="00901549" w:rsidP="00901549">
      <w:pPr>
        <w:pStyle w:val="Prrafodelista"/>
        <w:numPr>
          <w:ilvl w:val="0"/>
          <w:numId w:val="22"/>
        </w:numPr>
        <w:spacing w:line="240" w:lineRule="exact"/>
        <w:jc w:val="both"/>
      </w:pPr>
      <w:r>
        <w:rPr>
          <w:b/>
        </w:rPr>
        <w:t xml:space="preserve">Decreto IMMEX: </w:t>
      </w:r>
      <w:r>
        <w:t>Decreto para el Fomento de la Industria Manufacturera, Maquiladora y de Servicios de Exportación referido en el artículo Único del Decreto por el que se modifica el diverso para el fomento y operación de la industria maquiladora de exportación, publicado en el DOF el 1 de noviembre de 2006 y sus posteriores modificaciones.</w:t>
      </w:r>
    </w:p>
    <w:p w:rsidR="00D35DA5" w:rsidRDefault="00D35DA5" w:rsidP="00D35DA5">
      <w:pPr>
        <w:pStyle w:val="Prrafodelista"/>
      </w:pPr>
    </w:p>
    <w:p w:rsidR="00D35DA5" w:rsidRPr="00A06594" w:rsidRDefault="00D35DA5" w:rsidP="00901549">
      <w:pPr>
        <w:pStyle w:val="Prrafodelista"/>
        <w:numPr>
          <w:ilvl w:val="0"/>
          <w:numId w:val="22"/>
        </w:numPr>
        <w:spacing w:line="240" w:lineRule="exact"/>
        <w:jc w:val="both"/>
      </w:pPr>
      <w:r w:rsidRPr="00D35DA5">
        <w:rPr>
          <w:b/>
        </w:rPr>
        <w:t>Decreto PROSEC:</w:t>
      </w:r>
      <w:r>
        <w:rPr>
          <w:b/>
        </w:rPr>
        <w:t xml:space="preserve"> </w:t>
      </w:r>
      <w:r w:rsidRPr="00D35DA5">
        <w:t>Decreto por el que se establecen diversos Programas de Promoción Sectorial</w:t>
      </w:r>
      <w:r w:rsidR="002B4F8A">
        <w:t xml:space="preserve"> publicado en el DOF</w:t>
      </w:r>
      <w:r>
        <w:t xml:space="preserve"> </w:t>
      </w:r>
      <w:r w:rsidR="00A06594" w:rsidRPr="00A06594">
        <w:t>el 2 de agosto de 2002 y sus </w:t>
      </w:r>
      <w:r w:rsidR="00A06594">
        <w:t xml:space="preserve">posteriores </w:t>
      </w:r>
      <w:r w:rsidR="00A06594" w:rsidRPr="00A06594">
        <w:t>modificacione</w:t>
      </w:r>
      <w:r w:rsidR="00A06594">
        <w:t>s.</w:t>
      </w:r>
    </w:p>
    <w:p w:rsidR="00B16527" w:rsidRDefault="00B16527" w:rsidP="00B16527">
      <w:pPr>
        <w:pStyle w:val="Prrafodelista"/>
      </w:pPr>
    </w:p>
    <w:p w:rsidR="00B16527" w:rsidRPr="00B16527" w:rsidRDefault="00B16527" w:rsidP="00901549">
      <w:pPr>
        <w:pStyle w:val="Prrafodelista"/>
        <w:numPr>
          <w:ilvl w:val="0"/>
          <w:numId w:val="22"/>
        </w:numPr>
        <w:spacing w:line="240" w:lineRule="exact"/>
        <w:jc w:val="both"/>
        <w:rPr>
          <w:b/>
        </w:rPr>
      </w:pPr>
      <w:r w:rsidRPr="000B0151">
        <w:rPr>
          <w:b/>
          <w:highlight w:val="yellow"/>
        </w:rPr>
        <w:t>Precios Estimados:</w:t>
      </w:r>
    </w:p>
    <w:p w:rsidR="00901549" w:rsidRPr="00901549" w:rsidRDefault="00901549" w:rsidP="00901549">
      <w:pPr>
        <w:pStyle w:val="Prrafodelista"/>
        <w:spacing w:line="240" w:lineRule="exact"/>
        <w:jc w:val="both"/>
      </w:pPr>
    </w:p>
    <w:p w:rsidR="00091CAF" w:rsidRDefault="00091CAF" w:rsidP="00091CAF">
      <w:pPr>
        <w:pStyle w:val="Prrafodelista"/>
        <w:numPr>
          <w:ilvl w:val="0"/>
          <w:numId w:val="22"/>
        </w:numPr>
        <w:spacing w:line="240" w:lineRule="exact"/>
        <w:jc w:val="both"/>
      </w:pPr>
      <w:r w:rsidRPr="00091CAF">
        <w:rPr>
          <w:b/>
        </w:rPr>
        <w:t>Programa IMMEX</w:t>
      </w:r>
      <w:r>
        <w:rPr>
          <w:b/>
        </w:rPr>
        <w:t>:</w:t>
      </w:r>
      <w:r>
        <w:t xml:space="preserve"> Programa autorizado al amparo del Decreto IMMEX.</w:t>
      </w:r>
    </w:p>
    <w:p w:rsidR="00901549" w:rsidRDefault="00901549" w:rsidP="00901549">
      <w:pPr>
        <w:pStyle w:val="Prrafodelista"/>
      </w:pPr>
    </w:p>
    <w:p w:rsidR="00BF2A7E" w:rsidRPr="00BF2A7E" w:rsidRDefault="00901549" w:rsidP="00BF2A7E">
      <w:pPr>
        <w:pStyle w:val="Prrafodelista"/>
        <w:numPr>
          <w:ilvl w:val="0"/>
          <w:numId w:val="22"/>
        </w:numPr>
        <w:spacing w:line="240" w:lineRule="exact"/>
        <w:jc w:val="both"/>
        <w:rPr>
          <w:b/>
        </w:rPr>
      </w:pPr>
      <w:r>
        <w:rPr>
          <w:b/>
        </w:rPr>
        <w:t xml:space="preserve">Prohibidas </w:t>
      </w:r>
      <w:r w:rsidR="00091CAF" w:rsidRPr="00091CAF">
        <w:rPr>
          <w:b/>
        </w:rPr>
        <w:t>IMMEX:</w:t>
      </w:r>
      <w:r>
        <w:rPr>
          <w:b/>
        </w:rPr>
        <w:t xml:space="preserve"> </w:t>
      </w:r>
      <w:r w:rsidRPr="00901549">
        <w:t xml:space="preserve">Mercancías </w:t>
      </w:r>
      <w:r>
        <w:t xml:space="preserve">listadas en el Anexo I del Decreto IMMEX, mismas que se encuentran prohibidas para </w:t>
      </w:r>
      <w:r w:rsidR="00985426">
        <w:t xml:space="preserve">su </w:t>
      </w:r>
      <w:r>
        <w:t xml:space="preserve">importación al amparo de un Programa IMMEX.  </w:t>
      </w:r>
    </w:p>
    <w:p w:rsidR="00BF2A7E" w:rsidRPr="00BF2A7E" w:rsidRDefault="00BF2A7E" w:rsidP="00BF2A7E">
      <w:pPr>
        <w:pStyle w:val="Prrafodelista"/>
        <w:rPr>
          <w:b/>
        </w:rPr>
      </w:pPr>
    </w:p>
    <w:p w:rsidR="00BF2A7E" w:rsidRPr="00BF2A7E" w:rsidRDefault="0059406F" w:rsidP="00BF2A7E">
      <w:pPr>
        <w:pStyle w:val="Prrafodelista"/>
        <w:numPr>
          <w:ilvl w:val="0"/>
          <w:numId w:val="22"/>
        </w:numPr>
        <w:spacing w:line="240" w:lineRule="exact"/>
        <w:jc w:val="both"/>
        <w:rPr>
          <w:b/>
        </w:rPr>
      </w:pPr>
      <w:r w:rsidRPr="00BF2A7E">
        <w:rPr>
          <w:b/>
        </w:rPr>
        <w:t>Retaliación, aranceles 232</w:t>
      </w:r>
      <w:r w:rsidRPr="00BF2A7E">
        <w:rPr>
          <w:b/>
          <w:u w:val="single"/>
        </w:rPr>
        <w:t>:</w:t>
      </w:r>
      <w:r>
        <w:t xml:space="preserve"> Son los aranceles que impuso México a las mercancías originarias (71 fracciones arancelarias) de los Estados Unidos de América, en respuesta a los aranceles </w:t>
      </w:r>
      <w:r w:rsidR="009201EF">
        <w:t xml:space="preserve">impuestos por dicho país </w:t>
      </w:r>
      <w:r>
        <w:t>al acero de origen mexicano.</w:t>
      </w:r>
      <w:r w:rsidR="009201EF">
        <w:t xml:space="preserve"> La medida fue publicada en el DOF el 05 de junio de 2018.</w:t>
      </w:r>
    </w:p>
    <w:p w:rsidR="00BF2A7E" w:rsidRPr="00BF2A7E" w:rsidRDefault="00BF2A7E" w:rsidP="00BF2A7E">
      <w:pPr>
        <w:pStyle w:val="Prrafodelista"/>
        <w:rPr>
          <w:b/>
        </w:rPr>
      </w:pPr>
    </w:p>
    <w:p w:rsidR="00901549" w:rsidRPr="00BF2A7E" w:rsidRDefault="00901549" w:rsidP="00BF2A7E">
      <w:pPr>
        <w:pStyle w:val="Prrafodelista"/>
        <w:numPr>
          <w:ilvl w:val="0"/>
          <w:numId w:val="22"/>
        </w:numPr>
        <w:spacing w:line="240" w:lineRule="exact"/>
        <w:jc w:val="both"/>
        <w:rPr>
          <w:b/>
        </w:rPr>
      </w:pPr>
      <w:r w:rsidRPr="00BF2A7E">
        <w:rPr>
          <w:b/>
        </w:rPr>
        <w:t>Sensibles IMMEX:</w:t>
      </w:r>
      <w:r>
        <w:t xml:space="preserve"> Mercancías listadas en el Anexo II del Decreto IMMEX, mismas que se encuentran sujetas a cumplir </w:t>
      </w:r>
      <w:r w:rsidR="00985426">
        <w:t xml:space="preserve">con </w:t>
      </w:r>
      <w:r>
        <w:t xml:space="preserve">una autorización por parte de la Secretaría de Economía para su importación al amparo de un Programa IMMEX. </w:t>
      </w:r>
    </w:p>
    <w:p w:rsidR="00901549" w:rsidRDefault="00901549" w:rsidP="00901549">
      <w:pPr>
        <w:pStyle w:val="Prrafodelista"/>
        <w:spacing w:line="240" w:lineRule="exact"/>
        <w:jc w:val="both"/>
      </w:pPr>
    </w:p>
    <w:p w:rsidR="00513720" w:rsidRDefault="00513720" w:rsidP="00513720">
      <w:pPr>
        <w:pStyle w:val="Prrafodelista"/>
        <w:spacing w:after="160" w:line="259" w:lineRule="auto"/>
        <w:jc w:val="both"/>
      </w:pPr>
    </w:p>
    <w:p w:rsidR="00AA3A51" w:rsidRDefault="00AA3A51" w:rsidP="00513720">
      <w:pPr>
        <w:spacing w:after="120"/>
        <w:jc w:val="both"/>
        <w:rPr>
          <w:rFonts w:ascii="Arial" w:hAnsi="Arial" w:cs="Arial"/>
          <w:b/>
          <w:i/>
          <w:color w:val="C00000"/>
          <w:sz w:val="21"/>
          <w:szCs w:val="21"/>
        </w:rPr>
      </w:pPr>
    </w:p>
    <w:p w:rsidR="0082612E" w:rsidRDefault="0082612E" w:rsidP="0082612E">
      <w:pPr>
        <w:autoSpaceDE w:val="0"/>
        <w:autoSpaceDN w:val="0"/>
        <w:rPr>
          <w:sz w:val="22"/>
          <w:szCs w:val="22"/>
          <w:lang w:val="es-MX" w:eastAsia="es-MX"/>
        </w:rPr>
      </w:pPr>
      <w:r>
        <w:rPr>
          <w:rFonts w:ascii="Segoe UI" w:hAnsi="Segoe UI" w:cs="Segoe UI"/>
          <w:sz w:val="20"/>
          <w:szCs w:val="20"/>
        </w:rPr>
        <w:t xml:space="preserve">https://www.snice.gob.mx/cs/avi/snice/base3.html </w:t>
      </w: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9844BE" w:rsidRPr="0082612E" w:rsidRDefault="009844BE" w:rsidP="003E6C38">
      <w:pPr>
        <w:spacing w:after="120"/>
        <w:jc w:val="both"/>
        <w:rPr>
          <w:rFonts w:ascii="Arial" w:hAnsi="Arial" w:cs="Arial"/>
          <w:sz w:val="21"/>
          <w:szCs w:val="21"/>
          <w:lang w:val="es-MX"/>
        </w:rPr>
      </w:pPr>
    </w:p>
    <w:sectPr w:rsidR="009844BE" w:rsidRPr="0082612E" w:rsidSect="001D2343">
      <w:headerReference w:type="default" r:id="rId8"/>
      <w:footerReference w:type="default" r:id="rId9"/>
      <w:type w:val="continuous"/>
      <w:pgSz w:w="12240" w:h="15840"/>
      <w:pgMar w:top="1843" w:right="1041" w:bottom="709" w:left="851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97" w:rsidRDefault="00D71897" w:rsidP="00347E86">
      <w:r>
        <w:separator/>
      </w:r>
    </w:p>
  </w:endnote>
  <w:endnote w:type="continuationSeparator" w:id="0">
    <w:p w:rsidR="00D71897" w:rsidRDefault="00D71897" w:rsidP="0034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ty Medium">
    <w:altName w:val="City Mediu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448"/>
      <w:gridCol w:w="3446"/>
    </w:tblGrid>
    <w:tr w:rsidR="00342C77" w:rsidTr="00276BD2">
      <w:tc>
        <w:tcPr>
          <w:tcW w:w="3496" w:type="dxa"/>
        </w:tcPr>
        <w:p w:rsidR="00342C77" w:rsidRPr="00276BD2" w:rsidRDefault="003865B7" w:rsidP="00276BD2">
          <w:pPr>
            <w:pStyle w:val="Piedepgina"/>
            <w:rPr>
              <w:sz w:val="10"/>
              <w:szCs w:val="10"/>
            </w:rPr>
          </w:pPr>
          <w:r>
            <w:rPr>
              <w:sz w:val="10"/>
              <w:szCs w:val="10"/>
            </w:rPr>
            <w:t>SSIC/DGCE</w:t>
          </w:r>
        </w:p>
      </w:tc>
      <w:tc>
        <w:tcPr>
          <w:tcW w:w="3496" w:type="dxa"/>
        </w:tcPr>
        <w:sdt>
          <w:sdtPr>
            <w:id w:val="489066898"/>
            <w:docPartObj>
              <w:docPartGallery w:val="Page Numbers (Bottom of Page)"/>
              <w:docPartUnique/>
            </w:docPartObj>
          </w:sdtPr>
          <w:sdtEndPr/>
          <w:sdtContent>
            <w:p w:rsidR="00342C77" w:rsidRDefault="00342C77" w:rsidP="00276BD2">
              <w:pPr>
                <w:pStyle w:val="Piedepgina"/>
                <w:jc w:val="center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105399">
                <w:rPr>
                  <w:noProof/>
                </w:rPr>
                <w:t>1</w:t>
              </w:r>
              <w:r>
                <w:fldChar w:fldCharType="end"/>
              </w:r>
            </w:p>
          </w:sdtContent>
        </w:sdt>
      </w:tc>
      <w:tc>
        <w:tcPr>
          <w:tcW w:w="3496" w:type="dxa"/>
        </w:tcPr>
        <w:p w:rsidR="00342C77" w:rsidRDefault="00342C77" w:rsidP="00276BD2">
          <w:pPr>
            <w:pStyle w:val="Piedepgina"/>
          </w:pPr>
        </w:p>
      </w:tc>
    </w:tr>
  </w:tbl>
  <w:p w:rsidR="00342C77" w:rsidRPr="00276BD2" w:rsidRDefault="00342C77" w:rsidP="00276B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97" w:rsidRDefault="00D71897" w:rsidP="00347E86">
      <w:r>
        <w:separator/>
      </w:r>
    </w:p>
  </w:footnote>
  <w:footnote w:type="continuationSeparator" w:id="0">
    <w:p w:rsidR="00D71897" w:rsidRDefault="00D71897" w:rsidP="00347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C77" w:rsidRPr="00F228D6" w:rsidRDefault="00342C77" w:rsidP="003865B7">
    <w:pPr>
      <w:pStyle w:val="Encabezado"/>
      <w:jc w:val="right"/>
      <w:rPr>
        <w:rFonts w:ascii="Arial" w:hAnsi="Arial" w:cs="Arial"/>
        <w:b/>
        <w:smallCaps/>
        <w:color w:val="808080" w:themeColor="background1" w:themeShade="80"/>
        <w:sz w:val="20"/>
        <w:szCs w:val="20"/>
      </w:rPr>
    </w:pPr>
    <w:r w:rsidRPr="005C07C6">
      <w:rPr>
        <w:rFonts w:cs="Arial"/>
        <w:b/>
        <w:noProof/>
        <w:sz w:val="52"/>
        <w:szCs w:val="52"/>
        <w:lang w:val="es-MX" w:eastAsia="es-MX"/>
      </w:rPr>
      <w:drawing>
        <wp:anchor distT="0" distB="0" distL="114300" distR="114300" simplePos="0" relativeHeight="251656192" behindDoc="0" locked="0" layoutInCell="1" allowOverlap="1" wp14:anchorId="6BE285BE" wp14:editId="6C31B744">
          <wp:simplePos x="0" y="0"/>
          <wp:positionH relativeFrom="column">
            <wp:posOffset>57785</wp:posOffset>
          </wp:positionH>
          <wp:positionV relativeFrom="paragraph">
            <wp:posOffset>-349885</wp:posOffset>
          </wp:positionV>
          <wp:extent cx="2045970" cy="641985"/>
          <wp:effectExtent l="0" t="0" r="0" b="5715"/>
          <wp:wrapNone/>
          <wp:docPr id="9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AFAFA"/>
                      </a:clrFrom>
                      <a:clrTo>
                        <a:srgbClr val="FAFA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97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"/>
        <w:szCs w:val="2"/>
      </w:rPr>
      <w:t>|</w:t>
    </w:r>
    <w:r>
      <w:rPr>
        <w:rFonts w:ascii="Arial" w:hAnsi="Arial" w:cs="Arial"/>
        <w:b/>
        <w:smallCaps/>
        <w:color w:val="808080" w:themeColor="background1" w:themeShade="80"/>
        <w:sz w:val="20"/>
        <w:szCs w:val="20"/>
      </w:rPr>
      <w:t xml:space="preserve"> </w:t>
    </w:r>
    <w:r w:rsidR="00143D71" w:rsidRPr="00143D71">
      <w:rPr>
        <w:rFonts w:ascii="Arial" w:hAnsi="Arial" w:cs="Arial"/>
        <w:b/>
        <w:smallCaps/>
        <w:color w:val="808080" w:themeColor="background1" w:themeShade="80"/>
        <w:sz w:val="18"/>
        <w:szCs w:val="20"/>
      </w:rPr>
      <w:t>GUÍA DE USUARIO</w:t>
    </w:r>
    <w:r>
      <w:rPr>
        <w:rFonts w:ascii="Arial" w:hAnsi="Arial" w:cs="Arial"/>
        <w:b/>
        <w:smallCaps/>
        <w:color w:val="808080" w:themeColor="background1" w:themeShade="80"/>
        <w:sz w:val="20"/>
        <w:szCs w:val="20"/>
      </w:rPr>
      <w:t xml:space="preserve"> </w:t>
    </w:r>
  </w:p>
  <w:p w:rsidR="00342C77" w:rsidRDefault="00342C77" w:rsidP="004C361A">
    <w:pPr>
      <w:jc w:val="right"/>
      <w:rPr>
        <w:rFonts w:ascii="Arial" w:hAnsi="Arial" w:cs="Arial"/>
        <w:b/>
        <w:smallCaps/>
        <w:color w:val="808080" w:themeColor="background1" w:themeShade="80"/>
        <w:sz w:val="20"/>
        <w:szCs w:val="20"/>
      </w:rPr>
    </w:pPr>
    <w:r>
      <w:rPr>
        <w:rFonts w:ascii="Arial" w:hAnsi="Arial" w:cs="Arial"/>
        <w:b/>
        <w:smallCaps/>
        <w:color w:val="808080" w:themeColor="background1" w:themeShade="80"/>
        <w:sz w:val="20"/>
        <w:szCs w:val="20"/>
      </w:rPr>
      <w:t>Subsecretaría de Industria y Comercio</w:t>
    </w:r>
  </w:p>
  <w:p w:rsidR="00342C77" w:rsidRPr="002B2C3F" w:rsidRDefault="00F00834" w:rsidP="001B59E0">
    <w:pPr>
      <w:jc w:val="right"/>
      <w:rPr>
        <w:sz w:val="2"/>
        <w:szCs w:val="2"/>
      </w:rPr>
    </w:pPr>
    <w:r>
      <w:rPr>
        <w:rFonts w:ascii="Arial" w:hAnsi="Arial" w:cs="Arial"/>
        <w:b/>
        <w:smallCaps/>
        <w:color w:val="808080" w:themeColor="background1" w:themeShade="80"/>
        <w:sz w:val="20"/>
        <w:szCs w:val="20"/>
      </w:rPr>
      <w:t>noviembre</w:t>
    </w:r>
    <w:r w:rsidR="00940185">
      <w:rPr>
        <w:rFonts w:ascii="Arial" w:hAnsi="Arial" w:cs="Arial"/>
        <w:b/>
        <w:smallCaps/>
        <w:color w:val="808080" w:themeColor="background1" w:themeShade="80"/>
        <w:sz w:val="20"/>
        <w:szCs w:val="20"/>
      </w:rPr>
      <w:t xml:space="preserve"> </w:t>
    </w:r>
    <w:r w:rsidR="003E6C38">
      <w:rPr>
        <w:rFonts w:ascii="Arial" w:hAnsi="Arial" w:cs="Arial"/>
        <w:b/>
        <w:smallCaps/>
        <w:color w:val="808080" w:themeColor="background1" w:themeShade="80"/>
        <w:sz w:val="20"/>
        <w:szCs w:val="20"/>
      </w:rPr>
      <w:t>de 2018</w:t>
    </w:r>
    <w:r w:rsidR="00342C77">
      <w:rPr>
        <w:rFonts w:ascii="Arial" w:hAnsi="Arial" w:cs="Arial"/>
        <w:b/>
        <w:smallCaps/>
        <w:color w:val="808080" w:themeColor="background1" w:themeShade="80"/>
        <w:sz w:val="20"/>
        <w:szCs w:val="20"/>
      </w:rPr>
      <w:t xml:space="preserve"> </w:t>
    </w:r>
    <w:r w:rsidR="00342C77">
      <w:rPr>
        <w:noProof/>
        <w:sz w:val="2"/>
        <w:szCs w:val="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50A59C" wp14:editId="12EE3FE5">
              <wp:simplePos x="0" y="0"/>
              <wp:positionH relativeFrom="column">
                <wp:posOffset>5080</wp:posOffset>
              </wp:positionH>
              <wp:positionV relativeFrom="paragraph">
                <wp:posOffset>167801</wp:posOffset>
              </wp:positionV>
              <wp:extent cx="6605517" cy="0"/>
              <wp:effectExtent l="0" t="19050" r="508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5517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26347E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3.2pt" to="520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" strokecolor="#c0000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7B9"/>
    <w:multiLevelType w:val="hybridMultilevel"/>
    <w:tmpl w:val="9E3CF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36A4"/>
    <w:multiLevelType w:val="hybridMultilevel"/>
    <w:tmpl w:val="C916E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6AA1B4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531C"/>
    <w:multiLevelType w:val="hybridMultilevel"/>
    <w:tmpl w:val="E9B6ACCE"/>
    <w:lvl w:ilvl="0" w:tplc="3BB645BE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0AB335A8"/>
    <w:multiLevelType w:val="hybridMultilevel"/>
    <w:tmpl w:val="4A82E19A"/>
    <w:lvl w:ilvl="0" w:tplc="D8EA442A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3E407E9"/>
    <w:multiLevelType w:val="hybridMultilevel"/>
    <w:tmpl w:val="017E98EA"/>
    <w:lvl w:ilvl="0" w:tplc="A03A38F8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EF5"/>
    <w:multiLevelType w:val="hybridMultilevel"/>
    <w:tmpl w:val="DA882434"/>
    <w:lvl w:ilvl="0" w:tplc="D8EA4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B3388"/>
    <w:multiLevelType w:val="hybridMultilevel"/>
    <w:tmpl w:val="3C4A6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D0ABD"/>
    <w:multiLevelType w:val="hybridMultilevel"/>
    <w:tmpl w:val="2AB0E9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s-MX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44EA5"/>
    <w:multiLevelType w:val="hybridMultilevel"/>
    <w:tmpl w:val="B87033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8D2EDC"/>
    <w:multiLevelType w:val="hybridMultilevel"/>
    <w:tmpl w:val="E2A0B550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9C2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AD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CE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A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CB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6A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84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42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CD6F03"/>
    <w:multiLevelType w:val="hybridMultilevel"/>
    <w:tmpl w:val="D084E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E68F1"/>
    <w:multiLevelType w:val="hybridMultilevel"/>
    <w:tmpl w:val="85A0BA58"/>
    <w:lvl w:ilvl="0" w:tplc="A06AA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31993"/>
    <w:multiLevelType w:val="hybridMultilevel"/>
    <w:tmpl w:val="66180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97E71"/>
    <w:multiLevelType w:val="hybridMultilevel"/>
    <w:tmpl w:val="B0FC4056"/>
    <w:lvl w:ilvl="0" w:tplc="A06AA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51D18"/>
    <w:multiLevelType w:val="hybridMultilevel"/>
    <w:tmpl w:val="F4A854FA"/>
    <w:lvl w:ilvl="0" w:tplc="6F663552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A6F71"/>
    <w:multiLevelType w:val="hybridMultilevel"/>
    <w:tmpl w:val="E4F4E01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0B18B6"/>
    <w:multiLevelType w:val="hybridMultilevel"/>
    <w:tmpl w:val="D8C6BF4E"/>
    <w:lvl w:ilvl="0" w:tplc="656092D8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936E6"/>
    <w:multiLevelType w:val="hybridMultilevel"/>
    <w:tmpl w:val="ABAC9A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422C"/>
    <w:multiLevelType w:val="hybridMultilevel"/>
    <w:tmpl w:val="D10437BE"/>
    <w:lvl w:ilvl="0" w:tplc="09A8D0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B420C"/>
    <w:multiLevelType w:val="hybridMultilevel"/>
    <w:tmpl w:val="25A0B2AA"/>
    <w:lvl w:ilvl="0" w:tplc="080A0017">
      <w:start w:val="1"/>
      <w:numFmt w:val="lowerLetter"/>
      <w:lvlText w:val="%1)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5C7839B5"/>
    <w:multiLevelType w:val="hybridMultilevel"/>
    <w:tmpl w:val="02B64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C08FD"/>
    <w:multiLevelType w:val="hybridMultilevel"/>
    <w:tmpl w:val="0F20C06E"/>
    <w:lvl w:ilvl="0" w:tplc="D8EA4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B038C"/>
    <w:multiLevelType w:val="hybridMultilevel"/>
    <w:tmpl w:val="35BA80D2"/>
    <w:lvl w:ilvl="0" w:tplc="A06AA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51968"/>
    <w:multiLevelType w:val="hybridMultilevel"/>
    <w:tmpl w:val="ABC64F78"/>
    <w:lvl w:ilvl="0" w:tplc="D8EA4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D5676"/>
    <w:multiLevelType w:val="hybridMultilevel"/>
    <w:tmpl w:val="52922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6145F"/>
    <w:multiLevelType w:val="hybridMultilevel"/>
    <w:tmpl w:val="7E88BB0A"/>
    <w:lvl w:ilvl="0" w:tplc="08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6"/>
  </w:num>
  <w:num w:numId="5">
    <w:abstractNumId w:val="23"/>
  </w:num>
  <w:num w:numId="6">
    <w:abstractNumId w:val="17"/>
  </w:num>
  <w:num w:numId="7">
    <w:abstractNumId w:val="5"/>
  </w:num>
  <w:num w:numId="8">
    <w:abstractNumId w:val="3"/>
  </w:num>
  <w:num w:numId="9">
    <w:abstractNumId w:val="21"/>
  </w:num>
  <w:num w:numId="10">
    <w:abstractNumId w:val="9"/>
  </w:num>
  <w:num w:numId="11">
    <w:abstractNumId w:val="4"/>
  </w:num>
  <w:num w:numId="12">
    <w:abstractNumId w:val="14"/>
  </w:num>
  <w:num w:numId="13">
    <w:abstractNumId w:val="16"/>
  </w:num>
  <w:num w:numId="14">
    <w:abstractNumId w:val="2"/>
  </w:num>
  <w:num w:numId="15">
    <w:abstractNumId w:val="18"/>
  </w:num>
  <w:num w:numId="16">
    <w:abstractNumId w:val="20"/>
  </w:num>
  <w:num w:numId="17">
    <w:abstractNumId w:val="0"/>
  </w:num>
  <w:num w:numId="18">
    <w:abstractNumId w:val="8"/>
  </w:num>
  <w:num w:numId="19">
    <w:abstractNumId w:val="10"/>
  </w:num>
  <w:num w:numId="20">
    <w:abstractNumId w:val="24"/>
  </w:num>
  <w:num w:numId="21">
    <w:abstractNumId w:val="13"/>
  </w:num>
  <w:num w:numId="22">
    <w:abstractNumId w:val="11"/>
  </w:num>
  <w:num w:numId="23">
    <w:abstractNumId w:val="19"/>
  </w:num>
  <w:num w:numId="24">
    <w:abstractNumId w:val="1"/>
  </w:num>
  <w:num w:numId="25">
    <w:abstractNumId w:val="22"/>
  </w:num>
  <w:num w:numId="26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86"/>
    <w:rsid w:val="00002B32"/>
    <w:rsid w:val="000051F6"/>
    <w:rsid w:val="000065A5"/>
    <w:rsid w:val="00011581"/>
    <w:rsid w:val="0001275B"/>
    <w:rsid w:val="00014EA8"/>
    <w:rsid w:val="000175DD"/>
    <w:rsid w:val="00021AFB"/>
    <w:rsid w:val="000221C5"/>
    <w:rsid w:val="00022890"/>
    <w:rsid w:val="00023686"/>
    <w:rsid w:val="00023982"/>
    <w:rsid w:val="00025DBE"/>
    <w:rsid w:val="00027624"/>
    <w:rsid w:val="00032C4A"/>
    <w:rsid w:val="00034A50"/>
    <w:rsid w:val="0003706A"/>
    <w:rsid w:val="00037C7B"/>
    <w:rsid w:val="00041EA7"/>
    <w:rsid w:val="00043AD9"/>
    <w:rsid w:val="0004411D"/>
    <w:rsid w:val="000447A4"/>
    <w:rsid w:val="0004533B"/>
    <w:rsid w:val="00046D4B"/>
    <w:rsid w:val="00051FDC"/>
    <w:rsid w:val="00052834"/>
    <w:rsid w:val="00054E56"/>
    <w:rsid w:val="000550C2"/>
    <w:rsid w:val="00060742"/>
    <w:rsid w:val="00063918"/>
    <w:rsid w:val="00063BEE"/>
    <w:rsid w:val="000826A1"/>
    <w:rsid w:val="00082AFB"/>
    <w:rsid w:val="00082EFA"/>
    <w:rsid w:val="00091CAF"/>
    <w:rsid w:val="00095AD6"/>
    <w:rsid w:val="000965C8"/>
    <w:rsid w:val="000A121D"/>
    <w:rsid w:val="000A16ED"/>
    <w:rsid w:val="000A30FA"/>
    <w:rsid w:val="000A407A"/>
    <w:rsid w:val="000A72C4"/>
    <w:rsid w:val="000A7D67"/>
    <w:rsid w:val="000B0151"/>
    <w:rsid w:val="000C08F5"/>
    <w:rsid w:val="000C2662"/>
    <w:rsid w:val="000C2F41"/>
    <w:rsid w:val="000C4EE1"/>
    <w:rsid w:val="000C5C9D"/>
    <w:rsid w:val="000C7EF8"/>
    <w:rsid w:val="000D0D87"/>
    <w:rsid w:val="000D2191"/>
    <w:rsid w:val="000D2269"/>
    <w:rsid w:val="000D3D53"/>
    <w:rsid w:val="000D4E78"/>
    <w:rsid w:val="000D5240"/>
    <w:rsid w:val="000D5CED"/>
    <w:rsid w:val="000D67F1"/>
    <w:rsid w:val="000E261B"/>
    <w:rsid w:val="000E6A23"/>
    <w:rsid w:val="000E6FAF"/>
    <w:rsid w:val="000F1070"/>
    <w:rsid w:val="000F1A13"/>
    <w:rsid w:val="000F2B19"/>
    <w:rsid w:val="000F2CFF"/>
    <w:rsid w:val="000F76C5"/>
    <w:rsid w:val="00100B3B"/>
    <w:rsid w:val="0010231A"/>
    <w:rsid w:val="00105399"/>
    <w:rsid w:val="001060D4"/>
    <w:rsid w:val="001117B0"/>
    <w:rsid w:val="001129A0"/>
    <w:rsid w:val="001134C8"/>
    <w:rsid w:val="001149EB"/>
    <w:rsid w:val="001178AD"/>
    <w:rsid w:val="00117CA7"/>
    <w:rsid w:val="001207EF"/>
    <w:rsid w:val="00124472"/>
    <w:rsid w:val="001246EF"/>
    <w:rsid w:val="0013127A"/>
    <w:rsid w:val="00131EAE"/>
    <w:rsid w:val="00133240"/>
    <w:rsid w:val="00133B5A"/>
    <w:rsid w:val="00136ADB"/>
    <w:rsid w:val="00142110"/>
    <w:rsid w:val="00143D71"/>
    <w:rsid w:val="00144567"/>
    <w:rsid w:val="0014488E"/>
    <w:rsid w:val="00150EAF"/>
    <w:rsid w:val="0015176E"/>
    <w:rsid w:val="00155C58"/>
    <w:rsid w:val="0015726F"/>
    <w:rsid w:val="001575BC"/>
    <w:rsid w:val="00157828"/>
    <w:rsid w:val="001578D4"/>
    <w:rsid w:val="00161DAC"/>
    <w:rsid w:val="001632F4"/>
    <w:rsid w:val="001636F1"/>
    <w:rsid w:val="00164057"/>
    <w:rsid w:val="00164D0B"/>
    <w:rsid w:val="00165640"/>
    <w:rsid w:val="00165F5F"/>
    <w:rsid w:val="00167273"/>
    <w:rsid w:val="00167DC3"/>
    <w:rsid w:val="001701BB"/>
    <w:rsid w:val="0017358B"/>
    <w:rsid w:val="00177F7E"/>
    <w:rsid w:val="00181CC3"/>
    <w:rsid w:val="00187314"/>
    <w:rsid w:val="0019473E"/>
    <w:rsid w:val="001964BD"/>
    <w:rsid w:val="0019674A"/>
    <w:rsid w:val="00196786"/>
    <w:rsid w:val="001A2D4E"/>
    <w:rsid w:val="001A3A3E"/>
    <w:rsid w:val="001A3EE4"/>
    <w:rsid w:val="001A6780"/>
    <w:rsid w:val="001B0EAA"/>
    <w:rsid w:val="001B1073"/>
    <w:rsid w:val="001B59E0"/>
    <w:rsid w:val="001B5F55"/>
    <w:rsid w:val="001C180A"/>
    <w:rsid w:val="001C247A"/>
    <w:rsid w:val="001D2343"/>
    <w:rsid w:val="001D429E"/>
    <w:rsid w:val="001D54EF"/>
    <w:rsid w:val="001E0892"/>
    <w:rsid w:val="001E389C"/>
    <w:rsid w:val="001F432D"/>
    <w:rsid w:val="001F60D7"/>
    <w:rsid w:val="00202AF5"/>
    <w:rsid w:val="002031A8"/>
    <w:rsid w:val="002053A4"/>
    <w:rsid w:val="002103CB"/>
    <w:rsid w:val="00211BFC"/>
    <w:rsid w:val="002240E1"/>
    <w:rsid w:val="00224423"/>
    <w:rsid w:val="0023244A"/>
    <w:rsid w:val="00235C3C"/>
    <w:rsid w:val="00236561"/>
    <w:rsid w:val="00237A27"/>
    <w:rsid w:val="0024053A"/>
    <w:rsid w:val="00243319"/>
    <w:rsid w:val="0024385B"/>
    <w:rsid w:val="00246C2C"/>
    <w:rsid w:val="00247507"/>
    <w:rsid w:val="00253609"/>
    <w:rsid w:val="002544E2"/>
    <w:rsid w:val="00256379"/>
    <w:rsid w:val="00262442"/>
    <w:rsid w:val="00262C72"/>
    <w:rsid w:val="0026628E"/>
    <w:rsid w:val="0026664B"/>
    <w:rsid w:val="00266909"/>
    <w:rsid w:val="00267017"/>
    <w:rsid w:val="00270BDC"/>
    <w:rsid w:val="00275AB9"/>
    <w:rsid w:val="00276BD2"/>
    <w:rsid w:val="00280ED0"/>
    <w:rsid w:val="00281100"/>
    <w:rsid w:val="00294B53"/>
    <w:rsid w:val="002970DF"/>
    <w:rsid w:val="002A548B"/>
    <w:rsid w:val="002A6DF8"/>
    <w:rsid w:val="002B2C3F"/>
    <w:rsid w:val="002B42E3"/>
    <w:rsid w:val="002B46A5"/>
    <w:rsid w:val="002B47BF"/>
    <w:rsid w:val="002B4F8A"/>
    <w:rsid w:val="002C5457"/>
    <w:rsid w:val="002C566C"/>
    <w:rsid w:val="002D540B"/>
    <w:rsid w:val="002D5AA0"/>
    <w:rsid w:val="002D73AB"/>
    <w:rsid w:val="002D7664"/>
    <w:rsid w:val="002E2680"/>
    <w:rsid w:val="002E3F18"/>
    <w:rsid w:val="002E562D"/>
    <w:rsid w:val="002F16CE"/>
    <w:rsid w:val="002F2AB1"/>
    <w:rsid w:val="002F39D8"/>
    <w:rsid w:val="002F42EE"/>
    <w:rsid w:val="002F6986"/>
    <w:rsid w:val="003171C0"/>
    <w:rsid w:val="003206E9"/>
    <w:rsid w:val="00321C62"/>
    <w:rsid w:val="0032245D"/>
    <w:rsid w:val="00322506"/>
    <w:rsid w:val="00323E95"/>
    <w:rsid w:val="003242F1"/>
    <w:rsid w:val="00326049"/>
    <w:rsid w:val="00327416"/>
    <w:rsid w:val="003354EF"/>
    <w:rsid w:val="00342B9B"/>
    <w:rsid w:val="00342C77"/>
    <w:rsid w:val="00343AD4"/>
    <w:rsid w:val="0034443F"/>
    <w:rsid w:val="00344517"/>
    <w:rsid w:val="00347E86"/>
    <w:rsid w:val="00352049"/>
    <w:rsid w:val="003562F7"/>
    <w:rsid w:val="00361AF7"/>
    <w:rsid w:val="0036326A"/>
    <w:rsid w:val="00365052"/>
    <w:rsid w:val="00371972"/>
    <w:rsid w:val="00373FD3"/>
    <w:rsid w:val="00374A5A"/>
    <w:rsid w:val="00377B25"/>
    <w:rsid w:val="00383889"/>
    <w:rsid w:val="003865B7"/>
    <w:rsid w:val="00391881"/>
    <w:rsid w:val="003A30B8"/>
    <w:rsid w:val="003B0060"/>
    <w:rsid w:val="003B05EC"/>
    <w:rsid w:val="003B63AC"/>
    <w:rsid w:val="003B7065"/>
    <w:rsid w:val="003C3296"/>
    <w:rsid w:val="003C4194"/>
    <w:rsid w:val="003D07FD"/>
    <w:rsid w:val="003D3618"/>
    <w:rsid w:val="003D475B"/>
    <w:rsid w:val="003D63D4"/>
    <w:rsid w:val="003D722E"/>
    <w:rsid w:val="003D7750"/>
    <w:rsid w:val="003D7C74"/>
    <w:rsid w:val="003E1D1A"/>
    <w:rsid w:val="003E22CF"/>
    <w:rsid w:val="003E6C38"/>
    <w:rsid w:val="003F2CC1"/>
    <w:rsid w:val="003F3377"/>
    <w:rsid w:val="003F34A0"/>
    <w:rsid w:val="003F35CC"/>
    <w:rsid w:val="003F3792"/>
    <w:rsid w:val="003F3EB5"/>
    <w:rsid w:val="003F6ED3"/>
    <w:rsid w:val="004028C5"/>
    <w:rsid w:val="004037E7"/>
    <w:rsid w:val="00403E22"/>
    <w:rsid w:val="00404247"/>
    <w:rsid w:val="0041141B"/>
    <w:rsid w:val="004135F7"/>
    <w:rsid w:val="004162C4"/>
    <w:rsid w:val="004168D2"/>
    <w:rsid w:val="00420C7E"/>
    <w:rsid w:val="00421018"/>
    <w:rsid w:val="0042139E"/>
    <w:rsid w:val="00421C26"/>
    <w:rsid w:val="00421C3F"/>
    <w:rsid w:val="00422586"/>
    <w:rsid w:val="00425503"/>
    <w:rsid w:val="00425644"/>
    <w:rsid w:val="00427A1D"/>
    <w:rsid w:val="00431905"/>
    <w:rsid w:val="00435A90"/>
    <w:rsid w:val="00435F5A"/>
    <w:rsid w:val="004377CF"/>
    <w:rsid w:val="004404E8"/>
    <w:rsid w:val="004431B2"/>
    <w:rsid w:val="0044519F"/>
    <w:rsid w:val="00452053"/>
    <w:rsid w:val="004524BC"/>
    <w:rsid w:val="00455595"/>
    <w:rsid w:val="00457EC8"/>
    <w:rsid w:val="004610C6"/>
    <w:rsid w:val="004610FD"/>
    <w:rsid w:val="0046661F"/>
    <w:rsid w:val="004679CF"/>
    <w:rsid w:val="0047047D"/>
    <w:rsid w:val="004709EA"/>
    <w:rsid w:val="00471B4C"/>
    <w:rsid w:val="0047563B"/>
    <w:rsid w:val="00476961"/>
    <w:rsid w:val="0048102A"/>
    <w:rsid w:val="00481D80"/>
    <w:rsid w:val="004828DA"/>
    <w:rsid w:val="00483A3B"/>
    <w:rsid w:val="00487A10"/>
    <w:rsid w:val="00491E1B"/>
    <w:rsid w:val="00493A04"/>
    <w:rsid w:val="004A3F7B"/>
    <w:rsid w:val="004A4799"/>
    <w:rsid w:val="004A4FC5"/>
    <w:rsid w:val="004A53FC"/>
    <w:rsid w:val="004B34F9"/>
    <w:rsid w:val="004B3B17"/>
    <w:rsid w:val="004C02F3"/>
    <w:rsid w:val="004C0707"/>
    <w:rsid w:val="004C2017"/>
    <w:rsid w:val="004C2C3B"/>
    <w:rsid w:val="004C361A"/>
    <w:rsid w:val="004C3DCA"/>
    <w:rsid w:val="004C6095"/>
    <w:rsid w:val="004D0A46"/>
    <w:rsid w:val="004D3A49"/>
    <w:rsid w:val="004D47AA"/>
    <w:rsid w:val="004D74FA"/>
    <w:rsid w:val="004D7D14"/>
    <w:rsid w:val="004E425F"/>
    <w:rsid w:val="004E790F"/>
    <w:rsid w:val="004F110B"/>
    <w:rsid w:val="004F1729"/>
    <w:rsid w:val="004F2759"/>
    <w:rsid w:val="004F521A"/>
    <w:rsid w:val="00501283"/>
    <w:rsid w:val="0050280A"/>
    <w:rsid w:val="00505325"/>
    <w:rsid w:val="00507D8E"/>
    <w:rsid w:val="005111EA"/>
    <w:rsid w:val="00513720"/>
    <w:rsid w:val="00513C18"/>
    <w:rsid w:val="005146C1"/>
    <w:rsid w:val="005147CC"/>
    <w:rsid w:val="005163D6"/>
    <w:rsid w:val="00516B38"/>
    <w:rsid w:val="005242B2"/>
    <w:rsid w:val="00525796"/>
    <w:rsid w:val="00525C48"/>
    <w:rsid w:val="00532343"/>
    <w:rsid w:val="00534C44"/>
    <w:rsid w:val="0053650B"/>
    <w:rsid w:val="00536884"/>
    <w:rsid w:val="00540788"/>
    <w:rsid w:val="00541DF5"/>
    <w:rsid w:val="00554D13"/>
    <w:rsid w:val="00555F14"/>
    <w:rsid w:val="005568B8"/>
    <w:rsid w:val="00557F61"/>
    <w:rsid w:val="00560ADF"/>
    <w:rsid w:val="00560AE2"/>
    <w:rsid w:val="00561113"/>
    <w:rsid w:val="0056118B"/>
    <w:rsid w:val="00564B82"/>
    <w:rsid w:val="00564DA2"/>
    <w:rsid w:val="00565443"/>
    <w:rsid w:val="00570754"/>
    <w:rsid w:val="0057104F"/>
    <w:rsid w:val="0057399B"/>
    <w:rsid w:val="00573D1F"/>
    <w:rsid w:val="00574447"/>
    <w:rsid w:val="00575500"/>
    <w:rsid w:val="0057599A"/>
    <w:rsid w:val="00576B77"/>
    <w:rsid w:val="00576DD2"/>
    <w:rsid w:val="00581DDF"/>
    <w:rsid w:val="00586C08"/>
    <w:rsid w:val="005872A4"/>
    <w:rsid w:val="0059406F"/>
    <w:rsid w:val="00595219"/>
    <w:rsid w:val="0059588C"/>
    <w:rsid w:val="00597145"/>
    <w:rsid w:val="005A274E"/>
    <w:rsid w:val="005A4D7D"/>
    <w:rsid w:val="005A6B50"/>
    <w:rsid w:val="005A78F8"/>
    <w:rsid w:val="005B1286"/>
    <w:rsid w:val="005B1F7E"/>
    <w:rsid w:val="005B3D65"/>
    <w:rsid w:val="005B3E64"/>
    <w:rsid w:val="005B5A54"/>
    <w:rsid w:val="005C1397"/>
    <w:rsid w:val="005C1CBB"/>
    <w:rsid w:val="005C3DC7"/>
    <w:rsid w:val="005C5611"/>
    <w:rsid w:val="005C7C15"/>
    <w:rsid w:val="005D0855"/>
    <w:rsid w:val="005E1416"/>
    <w:rsid w:val="005E3FC3"/>
    <w:rsid w:val="005F732E"/>
    <w:rsid w:val="00601101"/>
    <w:rsid w:val="00605636"/>
    <w:rsid w:val="00606DA7"/>
    <w:rsid w:val="006127B9"/>
    <w:rsid w:val="006156FA"/>
    <w:rsid w:val="00615A89"/>
    <w:rsid w:val="00615B46"/>
    <w:rsid w:val="00615CC1"/>
    <w:rsid w:val="00623E1D"/>
    <w:rsid w:val="00634FE1"/>
    <w:rsid w:val="00637A5C"/>
    <w:rsid w:val="00637DAA"/>
    <w:rsid w:val="0064082F"/>
    <w:rsid w:val="00640F5E"/>
    <w:rsid w:val="00644079"/>
    <w:rsid w:val="00644266"/>
    <w:rsid w:val="00646ADA"/>
    <w:rsid w:val="00652E33"/>
    <w:rsid w:val="00655B97"/>
    <w:rsid w:val="00656696"/>
    <w:rsid w:val="00656C64"/>
    <w:rsid w:val="00666071"/>
    <w:rsid w:val="00670CB9"/>
    <w:rsid w:val="00672A0E"/>
    <w:rsid w:val="0067468A"/>
    <w:rsid w:val="0068061E"/>
    <w:rsid w:val="00680D21"/>
    <w:rsid w:val="00681E16"/>
    <w:rsid w:val="00684A40"/>
    <w:rsid w:val="0068623A"/>
    <w:rsid w:val="006866E6"/>
    <w:rsid w:val="00694620"/>
    <w:rsid w:val="00694A6B"/>
    <w:rsid w:val="00694E37"/>
    <w:rsid w:val="006952FA"/>
    <w:rsid w:val="00696A03"/>
    <w:rsid w:val="0069795B"/>
    <w:rsid w:val="006A01EF"/>
    <w:rsid w:val="006A2321"/>
    <w:rsid w:val="006A7374"/>
    <w:rsid w:val="006B158B"/>
    <w:rsid w:val="006B51CD"/>
    <w:rsid w:val="006B58E4"/>
    <w:rsid w:val="006B5A43"/>
    <w:rsid w:val="006B66EC"/>
    <w:rsid w:val="006C472D"/>
    <w:rsid w:val="006C7229"/>
    <w:rsid w:val="006C7C1D"/>
    <w:rsid w:val="006D023D"/>
    <w:rsid w:val="006D04ED"/>
    <w:rsid w:val="006D2165"/>
    <w:rsid w:val="006D5BBA"/>
    <w:rsid w:val="006D7868"/>
    <w:rsid w:val="006E1200"/>
    <w:rsid w:val="006E1376"/>
    <w:rsid w:val="006E3C5C"/>
    <w:rsid w:val="006E6A71"/>
    <w:rsid w:val="006E7690"/>
    <w:rsid w:val="006F14C5"/>
    <w:rsid w:val="006F194D"/>
    <w:rsid w:val="0070352D"/>
    <w:rsid w:val="0070458E"/>
    <w:rsid w:val="00704C0F"/>
    <w:rsid w:val="00706DA8"/>
    <w:rsid w:val="0070713E"/>
    <w:rsid w:val="0071021E"/>
    <w:rsid w:val="00710695"/>
    <w:rsid w:val="00713DBC"/>
    <w:rsid w:val="00715B6F"/>
    <w:rsid w:val="00717F9A"/>
    <w:rsid w:val="0072064B"/>
    <w:rsid w:val="007211D0"/>
    <w:rsid w:val="00722649"/>
    <w:rsid w:val="007236B3"/>
    <w:rsid w:val="00724538"/>
    <w:rsid w:val="00724C40"/>
    <w:rsid w:val="007274E0"/>
    <w:rsid w:val="007312D4"/>
    <w:rsid w:val="00732C08"/>
    <w:rsid w:val="007336C4"/>
    <w:rsid w:val="00737198"/>
    <w:rsid w:val="0073786D"/>
    <w:rsid w:val="00737914"/>
    <w:rsid w:val="00742634"/>
    <w:rsid w:val="00745517"/>
    <w:rsid w:val="00751CFF"/>
    <w:rsid w:val="00755749"/>
    <w:rsid w:val="007601F7"/>
    <w:rsid w:val="00760C24"/>
    <w:rsid w:val="007610C0"/>
    <w:rsid w:val="007617F2"/>
    <w:rsid w:val="007638AC"/>
    <w:rsid w:val="007645C2"/>
    <w:rsid w:val="00764672"/>
    <w:rsid w:val="00765AF8"/>
    <w:rsid w:val="00775607"/>
    <w:rsid w:val="0078557B"/>
    <w:rsid w:val="007860B7"/>
    <w:rsid w:val="00786E20"/>
    <w:rsid w:val="00792AEB"/>
    <w:rsid w:val="00793FBE"/>
    <w:rsid w:val="00795B52"/>
    <w:rsid w:val="007A3568"/>
    <w:rsid w:val="007A3CAD"/>
    <w:rsid w:val="007A57F0"/>
    <w:rsid w:val="007A5961"/>
    <w:rsid w:val="007A691B"/>
    <w:rsid w:val="007A6A70"/>
    <w:rsid w:val="007A6FBA"/>
    <w:rsid w:val="007B0652"/>
    <w:rsid w:val="007B1B21"/>
    <w:rsid w:val="007B2AEA"/>
    <w:rsid w:val="007B33E7"/>
    <w:rsid w:val="007C0AA7"/>
    <w:rsid w:val="007D22A3"/>
    <w:rsid w:val="007D54AC"/>
    <w:rsid w:val="007E0173"/>
    <w:rsid w:val="007E1E93"/>
    <w:rsid w:val="007E2A80"/>
    <w:rsid w:val="007E6866"/>
    <w:rsid w:val="007E699C"/>
    <w:rsid w:val="007E6DB9"/>
    <w:rsid w:val="007E7D9E"/>
    <w:rsid w:val="007F1377"/>
    <w:rsid w:val="007F2D46"/>
    <w:rsid w:val="007F449E"/>
    <w:rsid w:val="007F517E"/>
    <w:rsid w:val="007F79A6"/>
    <w:rsid w:val="008000E5"/>
    <w:rsid w:val="00802600"/>
    <w:rsid w:val="00802780"/>
    <w:rsid w:val="00802F34"/>
    <w:rsid w:val="00807F5B"/>
    <w:rsid w:val="0081079F"/>
    <w:rsid w:val="00810A6F"/>
    <w:rsid w:val="00811066"/>
    <w:rsid w:val="0081151F"/>
    <w:rsid w:val="0081273B"/>
    <w:rsid w:val="00817553"/>
    <w:rsid w:val="0082612E"/>
    <w:rsid w:val="00826315"/>
    <w:rsid w:val="008420D1"/>
    <w:rsid w:val="0085001A"/>
    <w:rsid w:val="0085543B"/>
    <w:rsid w:val="00855AE1"/>
    <w:rsid w:val="00855E09"/>
    <w:rsid w:val="008662E7"/>
    <w:rsid w:val="00867124"/>
    <w:rsid w:val="0086713F"/>
    <w:rsid w:val="00870562"/>
    <w:rsid w:val="00871D56"/>
    <w:rsid w:val="00873F27"/>
    <w:rsid w:val="0087585D"/>
    <w:rsid w:val="00877B10"/>
    <w:rsid w:val="00877DB0"/>
    <w:rsid w:val="008834C4"/>
    <w:rsid w:val="00883AAE"/>
    <w:rsid w:val="00884DA9"/>
    <w:rsid w:val="00887478"/>
    <w:rsid w:val="0088751C"/>
    <w:rsid w:val="00892B3B"/>
    <w:rsid w:val="0089426F"/>
    <w:rsid w:val="008A209A"/>
    <w:rsid w:val="008B2328"/>
    <w:rsid w:val="008B4697"/>
    <w:rsid w:val="008B592A"/>
    <w:rsid w:val="008C1F46"/>
    <w:rsid w:val="008C6A8E"/>
    <w:rsid w:val="008D0B3F"/>
    <w:rsid w:val="008D11B6"/>
    <w:rsid w:val="008D32B1"/>
    <w:rsid w:val="008D3C0F"/>
    <w:rsid w:val="008E05B5"/>
    <w:rsid w:val="008E1279"/>
    <w:rsid w:val="008E39CA"/>
    <w:rsid w:val="008E715D"/>
    <w:rsid w:val="008E7482"/>
    <w:rsid w:val="008F12A7"/>
    <w:rsid w:val="008F5B75"/>
    <w:rsid w:val="008F7E01"/>
    <w:rsid w:val="00900209"/>
    <w:rsid w:val="00901549"/>
    <w:rsid w:val="00906D18"/>
    <w:rsid w:val="00913EAD"/>
    <w:rsid w:val="00914AAC"/>
    <w:rsid w:val="009156A8"/>
    <w:rsid w:val="00916A08"/>
    <w:rsid w:val="00917E3C"/>
    <w:rsid w:val="009201EF"/>
    <w:rsid w:val="00920FD7"/>
    <w:rsid w:val="00921F6F"/>
    <w:rsid w:val="00922FAC"/>
    <w:rsid w:val="00927A29"/>
    <w:rsid w:val="009335D9"/>
    <w:rsid w:val="0093569B"/>
    <w:rsid w:val="00935905"/>
    <w:rsid w:val="00935DC6"/>
    <w:rsid w:val="00936614"/>
    <w:rsid w:val="00940185"/>
    <w:rsid w:val="00947F2B"/>
    <w:rsid w:val="00950056"/>
    <w:rsid w:val="0095107A"/>
    <w:rsid w:val="00951476"/>
    <w:rsid w:val="00951941"/>
    <w:rsid w:val="009536D7"/>
    <w:rsid w:val="00956359"/>
    <w:rsid w:val="009565C1"/>
    <w:rsid w:val="00964CA1"/>
    <w:rsid w:val="00970BC0"/>
    <w:rsid w:val="00971B22"/>
    <w:rsid w:val="00973843"/>
    <w:rsid w:val="0097467F"/>
    <w:rsid w:val="009751A9"/>
    <w:rsid w:val="009807E4"/>
    <w:rsid w:val="009844BE"/>
    <w:rsid w:val="00984B89"/>
    <w:rsid w:val="00984EFD"/>
    <w:rsid w:val="00984F5A"/>
    <w:rsid w:val="00985426"/>
    <w:rsid w:val="0099092A"/>
    <w:rsid w:val="00994E58"/>
    <w:rsid w:val="00996044"/>
    <w:rsid w:val="00997564"/>
    <w:rsid w:val="009A0238"/>
    <w:rsid w:val="009A1C50"/>
    <w:rsid w:val="009A4119"/>
    <w:rsid w:val="009B2E5A"/>
    <w:rsid w:val="009B3675"/>
    <w:rsid w:val="009B3838"/>
    <w:rsid w:val="009B3D0E"/>
    <w:rsid w:val="009B5964"/>
    <w:rsid w:val="009B6552"/>
    <w:rsid w:val="009C0AA2"/>
    <w:rsid w:val="009C294F"/>
    <w:rsid w:val="009C6783"/>
    <w:rsid w:val="009D4472"/>
    <w:rsid w:val="009D6101"/>
    <w:rsid w:val="009E221F"/>
    <w:rsid w:val="009E241E"/>
    <w:rsid w:val="009E4485"/>
    <w:rsid w:val="009E4673"/>
    <w:rsid w:val="009E5C1F"/>
    <w:rsid w:val="009E7EC8"/>
    <w:rsid w:val="009F1967"/>
    <w:rsid w:val="009F44BC"/>
    <w:rsid w:val="009F5689"/>
    <w:rsid w:val="009F6004"/>
    <w:rsid w:val="009F6E93"/>
    <w:rsid w:val="00A06594"/>
    <w:rsid w:val="00A06B9A"/>
    <w:rsid w:val="00A07285"/>
    <w:rsid w:val="00A107FA"/>
    <w:rsid w:val="00A153A8"/>
    <w:rsid w:val="00A17591"/>
    <w:rsid w:val="00A205D4"/>
    <w:rsid w:val="00A27017"/>
    <w:rsid w:val="00A276B6"/>
    <w:rsid w:val="00A32069"/>
    <w:rsid w:val="00A340B1"/>
    <w:rsid w:val="00A3436B"/>
    <w:rsid w:val="00A3534A"/>
    <w:rsid w:val="00A40B7C"/>
    <w:rsid w:val="00A4333A"/>
    <w:rsid w:val="00A440D2"/>
    <w:rsid w:val="00A45BBC"/>
    <w:rsid w:val="00A45F7E"/>
    <w:rsid w:val="00A4769A"/>
    <w:rsid w:val="00A546C0"/>
    <w:rsid w:val="00A6031A"/>
    <w:rsid w:val="00A610B6"/>
    <w:rsid w:val="00A667DE"/>
    <w:rsid w:val="00A6766A"/>
    <w:rsid w:val="00A67919"/>
    <w:rsid w:val="00A805AE"/>
    <w:rsid w:val="00A815AA"/>
    <w:rsid w:val="00A842E8"/>
    <w:rsid w:val="00A8798D"/>
    <w:rsid w:val="00A90909"/>
    <w:rsid w:val="00A94590"/>
    <w:rsid w:val="00A94904"/>
    <w:rsid w:val="00A95267"/>
    <w:rsid w:val="00A96FCE"/>
    <w:rsid w:val="00A97282"/>
    <w:rsid w:val="00AA3100"/>
    <w:rsid w:val="00AA3732"/>
    <w:rsid w:val="00AA37DA"/>
    <w:rsid w:val="00AA3A51"/>
    <w:rsid w:val="00AA432B"/>
    <w:rsid w:val="00AA5DC9"/>
    <w:rsid w:val="00AB3978"/>
    <w:rsid w:val="00AB4C69"/>
    <w:rsid w:val="00AB75BB"/>
    <w:rsid w:val="00AC2B18"/>
    <w:rsid w:val="00AC7C4D"/>
    <w:rsid w:val="00AD5AF9"/>
    <w:rsid w:val="00AD5C61"/>
    <w:rsid w:val="00AE0E89"/>
    <w:rsid w:val="00AE1316"/>
    <w:rsid w:val="00AE1455"/>
    <w:rsid w:val="00AE2F23"/>
    <w:rsid w:val="00AE42A1"/>
    <w:rsid w:val="00AE4780"/>
    <w:rsid w:val="00AE5F9C"/>
    <w:rsid w:val="00AE68AE"/>
    <w:rsid w:val="00AE6B1C"/>
    <w:rsid w:val="00AE6D99"/>
    <w:rsid w:val="00AE7438"/>
    <w:rsid w:val="00AF14C3"/>
    <w:rsid w:val="00AF1838"/>
    <w:rsid w:val="00AF1DB0"/>
    <w:rsid w:val="00AF4320"/>
    <w:rsid w:val="00AF71BB"/>
    <w:rsid w:val="00B0074E"/>
    <w:rsid w:val="00B05852"/>
    <w:rsid w:val="00B075D3"/>
    <w:rsid w:val="00B0792C"/>
    <w:rsid w:val="00B10073"/>
    <w:rsid w:val="00B14398"/>
    <w:rsid w:val="00B15322"/>
    <w:rsid w:val="00B16527"/>
    <w:rsid w:val="00B16DB3"/>
    <w:rsid w:val="00B21E5D"/>
    <w:rsid w:val="00B24EDA"/>
    <w:rsid w:val="00B36EA9"/>
    <w:rsid w:val="00B373C9"/>
    <w:rsid w:val="00B459F0"/>
    <w:rsid w:val="00B45B26"/>
    <w:rsid w:val="00B4769F"/>
    <w:rsid w:val="00B47D0E"/>
    <w:rsid w:val="00B5273C"/>
    <w:rsid w:val="00B54190"/>
    <w:rsid w:val="00B557C7"/>
    <w:rsid w:val="00B56FCB"/>
    <w:rsid w:val="00B62C2C"/>
    <w:rsid w:val="00B71AC8"/>
    <w:rsid w:val="00B91036"/>
    <w:rsid w:val="00B91117"/>
    <w:rsid w:val="00B92650"/>
    <w:rsid w:val="00B951DE"/>
    <w:rsid w:val="00B95AFD"/>
    <w:rsid w:val="00BA00FC"/>
    <w:rsid w:val="00BA577A"/>
    <w:rsid w:val="00BB1343"/>
    <w:rsid w:val="00BB2968"/>
    <w:rsid w:val="00BB7AA1"/>
    <w:rsid w:val="00BC58EB"/>
    <w:rsid w:val="00BC6153"/>
    <w:rsid w:val="00BC6FFA"/>
    <w:rsid w:val="00BC7C6A"/>
    <w:rsid w:val="00BD1346"/>
    <w:rsid w:val="00BD5F46"/>
    <w:rsid w:val="00BD5F66"/>
    <w:rsid w:val="00BE15A1"/>
    <w:rsid w:val="00BE6356"/>
    <w:rsid w:val="00BF2A7E"/>
    <w:rsid w:val="00BF5FBC"/>
    <w:rsid w:val="00BF7AA8"/>
    <w:rsid w:val="00C01C88"/>
    <w:rsid w:val="00C15DC3"/>
    <w:rsid w:val="00C21274"/>
    <w:rsid w:val="00C26DAB"/>
    <w:rsid w:val="00C30FBF"/>
    <w:rsid w:val="00C366E7"/>
    <w:rsid w:val="00C3768E"/>
    <w:rsid w:val="00C42584"/>
    <w:rsid w:val="00C444A1"/>
    <w:rsid w:val="00C457D6"/>
    <w:rsid w:val="00C4714F"/>
    <w:rsid w:val="00C50758"/>
    <w:rsid w:val="00C5215A"/>
    <w:rsid w:val="00C5695C"/>
    <w:rsid w:val="00C57976"/>
    <w:rsid w:val="00C618E4"/>
    <w:rsid w:val="00C62E64"/>
    <w:rsid w:val="00C63A4F"/>
    <w:rsid w:val="00C66A64"/>
    <w:rsid w:val="00C7347F"/>
    <w:rsid w:val="00C73987"/>
    <w:rsid w:val="00C74C79"/>
    <w:rsid w:val="00C825E5"/>
    <w:rsid w:val="00C82EF4"/>
    <w:rsid w:val="00C83018"/>
    <w:rsid w:val="00C838E4"/>
    <w:rsid w:val="00C86356"/>
    <w:rsid w:val="00C92BC6"/>
    <w:rsid w:val="00C92FCC"/>
    <w:rsid w:val="00C968EA"/>
    <w:rsid w:val="00C9796F"/>
    <w:rsid w:val="00C97F32"/>
    <w:rsid w:val="00CA3BC1"/>
    <w:rsid w:val="00CA5865"/>
    <w:rsid w:val="00CA6D7C"/>
    <w:rsid w:val="00CA70DC"/>
    <w:rsid w:val="00CA7976"/>
    <w:rsid w:val="00CB0EBC"/>
    <w:rsid w:val="00CB1260"/>
    <w:rsid w:val="00CB4CC3"/>
    <w:rsid w:val="00CC122D"/>
    <w:rsid w:val="00CC1CED"/>
    <w:rsid w:val="00CC2328"/>
    <w:rsid w:val="00CC3CDA"/>
    <w:rsid w:val="00CD022C"/>
    <w:rsid w:val="00CD0422"/>
    <w:rsid w:val="00CD2333"/>
    <w:rsid w:val="00CD2C8A"/>
    <w:rsid w:val="00CD49B9"/>
    <w:rsid w:val="00CD743D"/>
    <w:rsid w:val="00CD77E4"/>
    <w:rsid w:val="00CE0F57"/>
    <w:rsid w:val="00CE1F6E"/>
    <w:rsid w:val="00CE544F"/>
    <w:rsid w:val="00CE5472"/>
    <w:rsid w:val="00CE7151"/>
    <w:rsid w:val="00CF080C"/>
    <w:rsid w:val="00CF18C7"/>
    <w:rsid w:val="00CF1CA2"/>
    <w:rsid w:val="00CF389B"/>
    <w:rsid w:val="00CF6263"/>
    <w:rsid w:val="00CF789B"/>
    <w:rsid w:val="00D0539A"/>
    <w:rsid w:val="00D16BC5"/>
    <w:rsid w:val="00D2066C"/>
    <w:rsid w:val="00D231D7"/>
    <w:rsid w:val="00D27135"/>
    <w:rsid w:val="00D35DA5"/>
    <w:rsid w:val="00D3730A"/>
    <w:rsid w:val="00D374AD"/>
    <w:rsid w:val="00D419CB"/>
    <w:rsid w:val="00D42EA3"/>
    <w:rsid w:val="00D44A86"/>
    <w:rsid w:val="00D462E2"/>
    <w:rsid w:val="00D502B7"/>
    <w:rsid w:val="00D53BBF"/>
    <w:rsid w:val="00D55718"/>
    <w:rsid w:val="00D6126D"/>
    <w:rsid w:val="00D61781"/>
    <w:rsid w:val="00D6671A"/>
    <w:rsid w:val="00D667B7"/>
    <w:rsid w:val="00D66AC1"/>
    <w:rsid w:val="00D71897"/>
    <w:rsid w:val="00D7316E"/>
    <w:rsid w:val="00D767E5"/>
    <w:rsid w:val="00D76872"/>
    <w:rsid w:val="00D77A7F"/>
    <w:rsid w:val="00D77BBF"/>
    <w:rsid w:val="00D8076B"/>
    <w:rsid w:val="00D83C2D"/>
    <w:rsid w:val="00D8537D"/>
    <w:rsid w:val="00D85AD3"/>
    <w:rsid w:val="00D85BDB"/>
    <w:rsid w:val="00D86188"/>
    <w:rsid w:val="00D86FE2"/>
    <w:rsid w:val="00D93A8C"/>
    <w:rsid w:val="00D95098"/>
    <w:rsid w:val="00DA03C5"/>
    <w:rsid w:val="00DA2857"/>
    <w:rsid w:val="00DA37CB"/>
    <w:rsid w:val="00DA3A7B"/>
    <w:rsid w:val="00DA5FB9"/>
    <w:rsid w:val="00DA70C5"/>
    <w:rsid w:val="00DA7E78"/>
    <w:rsid w:val="00DB12E1"/>
    <w:rsid w:val="00DB152E"/>
    <w:rsid w:val="00DB16EA"/>
    <w:rsid w:val="00DB23F2"/>
    <w:rsid w:val="00DB2C99"/>
    <w:rsid w:val="00DB648A"/>
    <w:rsid w:val="00DC2081"/>
    <w:rsid w:val="00DC2494"/>
    <w:rsid w:val="00DC44AD"/>
    <w:rsid w:val="00DC5ABA"/>
    <w:rsid w:val="00DC65F8"/>
    <w:rsid w:val="00DD0756"/>
    <w:rsid w:val="00DD2F80"/>
    <w:rsid w:val="00DD4224"/>
    <w:rsid w:val="00DD7E24"/>
    <w:rsid w:val="00DE1C36"/>
    <w:rsid w:val="00DE2111"/>
    <w:rsid w:val="00DE2D5A"/>
    <w:rsid w:val="00DE6994"/>
    <w:rsid w:val="00DE7255"/>
    <w:rsid w:val="00DF41C8"/>
    <w:rsid w:val="00DF4F4F"/>
    <w:rsid w:val="00DF55AF"/>
    <w:rsid w:val="00DF7A5A"/>
    <w:rsid w:val="00E0381D"/>
    <w:rsid w:val="00E057CE"/>
    <w:rsid w:val="00E060CA"/>
    <w:rsid w:val="00E0655B"/>
    <w:rsid w:val="00E06E58"/>
    <w:rsid w:val="00E07E6E"/>
    <w:rsid w:val="00E1295B"/>
    <w:rsid w:val="00E143C7"/>
    <w:rsid w:val="00E15B2A"/>
    <w:rsid w:val="00E16FCA"/>
    <w:rsid w:val="00E170F3"/>
    <w:rsid w:val="00E20726"/>
    <w:rsid w:val="00E24196"/>
    <w:rsid w:val="00E248B3"/>
    <w:rsid w:val="00E24D34"/>
    <w:rsid w:val="00E25581"/>
    <w:rsid w:val="00E3551A"/>
    <w:rsid w:val="00E3668F"/>
    <w:rsid w:val="00E3688E"/>
    <w:rsid w:val="00E37840"/>
    <w:rsid w:val="00E37A1F"/>
    <w:rsid w:val="00E427F8"/>
    <w:rsid w:val="00E44415"/>
    <w:rsid w:val="00E453F6"/>
    <w:rsid w:val="00E45A8D"/>
    <w:rsid w:val="00E47DAE"/>
    <w:rsid w:val="00E52733"/>
    <w:rsid w:val="00E54023"/>
    <w:rsid w:val="00E558A7"/>
    <w:rsid w:val="00E63D61"/>
    <w:rsid w:val="00E6439A"/>
    <w:rsid w:val="00E66D83"/>
    <w:rsid w:val="00E67673"/>
    <w:rsid w:val="00E70FD0"/>
    <w:rsid w:val="00E7407A"/>
    <w:rsid w:val="00E75C5B"/>
    <w:rsid w:val="00E7798F"/>
    <w:rsid w:val="00E80A14"/>
    <w:rsid w:val="00E81CB8"/>
    <w:rsid w:val="00E82577"/>
    <w:rsid w:val="00E83922"/>
    <w:rsid w:val="00E874BC"/>
    <w:rsid w:val="00E874FD"/>
    <w:rsid w:val="00E90E53"/>
    <w:rsid w:val="00E92BDD"/>
    <w:rsid w:val="00E959AB"/>
    <w:rsid w:val="00E9776A"/>
    <w:rsid w:val="00EA25D6"/>
    <w:rsid w:val="00EA7205"/>
    <w:rsid w:val="00EB0588"/>
    <w:rsid w:val="00EB171D"/>
    <w:rsid w:val="00EB2A1B"/>
    <w:rsid w:val="00EB5CB3"/>
    <w:rsid w:val="00EC2BA9"/>
    <w:rsid w:val="00EC34FE"/>
    <w:rsid w:val="00EC390F"/>
    <w:rsid w:val="00EC3CCC"/>
    <w:rsid w:val="00ED0E1E"/>
    <w:rsid w:val="00ED176B"/>
    <w:rsid w:val="00ED2EE3"/>
    <w:rsid w:val="00ED49EF"/>
    <w:rsid w:val="00EE43B6"/>
    <w:rsid w:val="00EE6BD5"/>
    <w:rsid w:val="00EE7E62"/>
    <w:rsid w:val="00F00834"/>
    <w:rsid w:val="00F01EA8"/>
    <w:rsid w:val="00F027B7"/>
    <w:rsid w:val="00F06874"/>
    <w:rsid w:val="00F10721"/>
    <w:rsid w:val="00F11D32"/>
    <w:rsid w:val="00F13924"/>
    <w:rsid w:val="00F14730"/>
    <w:rsid w:val="00F154CD"/>
    <w:rsid w:val="00F17100"/>
    <w:rsid w:val="00F21E36"/>
    <w:rsid w:val="00F228D6"/>
    <w:rsid w:val="00F2542A"/>
    <w:rsid w:val="00F268C7"/>
    <w:rsid w:val="00F272D4"/>
    <w:rsid w:val="00F30681"/>
    <w:rsid w:val="00F406CA"/>
    <w:rsid w:val="00F42CD9"/>
    <w:rsid w:val="00F452AF"/>
    <w:rsid w:val="00F45699"/>
    <w:rsid w:val="00F531AC"/>
    <w:rsid w:val="00F53F05"/>
    <w:rsid w:val="00F57EC7"/>
    <w:rsid w:val="00F60318"/>
    <w:rsid w:val="00F63BA7"/>
    <w:rsid w:val="00F64391"/>
    <w:rsid w:val="00F70FF9"/>
    <w:rsid w:val="00F72A1A"/>
    <w:rsid w:val="00F77AC9"/>
    <w:rsid w:val="00F77EC6"/>
    <w:rsid w:val="00F82D56"/>
    <w:rsid w:val="00F85864"/>
    <w:rsid w:val="00F865A9"/>
    <w:rsid w:val="00F9073D"/>
    <w:rsid w:val="00F93A9A"/>
    <w:rsid w:val="00FA2A71"/>
    <w:rsid w:val="00FA3A29"/>
    <w:rsid w:val="00FA5FB0"/>
    <w:rsid w:val="00FA7324"/>
    <w:rsid w:val="00FA775E"/>
    <w:rsid w:val="00FB0FAA"/>
    <w:rsid w:val="00FC7309"/>
    <w:rsid w:val="00FC7B4C"/>
    <w:rsid w:val="00FC7B62"/>
    <w:rsid w:val="00FC7D59"/>
    <w:rsid w:val="00FD0582"/>
    <w:rsid w:val="00FD19CC"/>
    <w:rsid w:val="00FD2E20"/>
    <w:rsid w:val="00FD64D2"/>
    <w:rsid w:val="00FD7908"/>
    <w:rsid w:val="00FD7916"/>
    <w:rsid w:val="00FE10E9"/>
    <w:rsid w:val="00FE201F"/>
    <w:rsid w:val="00FE299F"/>
    <w:rsid w:val="00FE454B"/>
    <w:rsid w:val="00FE7278"/>
    <w:rsid w:val="00FF51A5"/>
    <w:rsid w:val="00FF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3A2632-6BA0-49BA-A427-D493D6D1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612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12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D612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126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2"/>
      <w:szCs w:val="22"/>
      <w:lang w:val="es-MX" w:eastAsia="en-US"/>
    </w:rPr>
  </w:style>
  <w:style w:type="paragraph" w:styleId="Ttulo8">
    <w:name w:val="heading 8"/>
    <w:basedOn w:val="Normal"/>
    <w:next w:val="Normal"/>
    <w:link w:val="Ttulo8Car"/>
    <w:qFormat/>
    <w:rsid w:val="00D6126D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347E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47E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47E86"/>
    <w:pPr>
      <w:jc w:val="both"/>
    </w:pPr>
    <w:rPr>
      <w:rFonts w:ascii="Futura Bk BT" w:hAnsi="Futura Bk BT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47E86"/>
    <w:rPr>
      <w:rFonts w:ascii="Futura Bk BT" w:eastAsia="Times New Roman" w:hAnsi="Futura Bk BT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47E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E86"/>
  </w:style>
  <w:style w:type="paragraph" w:styleId="Prrafodelista">
    <w:name w:val="List Paragraph"/>
    <w:aliases w:val="lp1,List Paragraph1,Viñetas,4 Párrafo de lista,Figuras,Dot pt,No Spacing1,List Paragraph Char Char Char,Indicator Text,Numbered Para 1,DH1"/>
    <w:basedOn w:val="Normal"/>
    <w:link w:val="PrrafodelistaCar"/>
    <w:uiPriority w:val="34"/>
    <w:qFormat/>
    <w:rsid w:val="00BD5F46"/>
    <w:pPr>
      <w:ind w:left="720"/>
      <w:contextualSpacing/>
    </w:pPr>
  </w:style>
  <w:style w:type="character" w:customStyle="1" w:styleId="hps">
    <w:name w:val="hps"/>
    <w:basedOn w:val="Fuentedeprrafopredeter"/>
    <w:rsid w:val="00996044"/>
  </w:style>
  <w:style w:type="table" w:styleId="Tablaconcuadrcula">
    <w:name w:val="Table Grid"/>
    <w:basedOn w:val="Tablanormal"/>
    <w:uiPriority w:val="59"/>
    <w:rsid w:val="00F9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3A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A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5DC3"/>
    <w:pPr>
      <w:spacing w:before="100" w:beforeAutospacing="1" w:after="100" w:afterAutospacing="1"/>
    </w:pPr>
    <w:rPr>
      <w:lang w:val="es-MX" w:eastAsia="es-MX"/>
    </w:rPr>
  </w:style>
  <w:style w:type="character" w:customStyle="1" w:styleId="PrrafodelistaCar">
    <w:name w:val="Párrafo de lista Car"/>
    <w:aliases w:val="lp1 Car,List Paragraph1 Car,Viñetas Car,4 Párrafo de lista Car,Figuras Car,Dot pt Car,No Spacing1 Car,List Paragraph Char Char Char Car,Indicator Text Car,Numbered Para 1 Car,DH1 Car"/>
    <w:basedOn w:val="Fuentedeprrafopredeter"/>
    <w:link w:val="Prrafodelista"/>
    <w:uiPriority w:val="34"/>
    <w:qFormat/>
    <w:locked/>
    <w:rsid w:val="00CF626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claro-nfasis11">
    <w:name w:val="Sombreado claro - Énfasis 11"/>
    <w:basedOn w:val="Tablanormal"/>
    <w:uiPriority w:val="60"/>
    <w:rsid w:val="00873F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independiente2">
    <w:name w:val="Body Text 2"/>
    <w:basedOn w:val="Normal"/>
    <w:link w:val="Textoindependiente2Car"/>
    <w:rsid w:val="004828D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828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11">
    <w:name w:val="Título 11"/>
    <w:basedOn w:val="Normal"/>
    <w:next w:val="Normal"/>
    <w:uiPriority w:val="9"/>
    <w:qFormat/>
    <w:rsid w:val="00D6126D"/>
    <w:pPr>
      <w:keepNext/>
      <w:keepLines/>
      <w:spacing w:before="480" w:after="120" w:line="264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val="es-MX" w:eastAsia="en-US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D6126D"/>
    <w:pPr>
      <w:keepNext/>
      <w:keepLines/>
      <w:spacing w:before="200" w:line="264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val="es-MX" w:eastAsia="en-US"/>
    </w:rPr>
  </w:style>
  <w:style w:type="character" w:customStyle="1" w:styleId="Ttulo3Car">
    <w:name w:val="Título 3 Car"/>
    <w:basedOn w:val="Fuentedeprrafopredeter"/>
    <w:link w:val="Ttulo3"/>
    <w:rsid w:val="00D6126D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D6126D"/>
    <w:pPr>
      <w:keepNext/>
      <w:keepLines/>
      <w:spacing w:before="200" w:line="264" w:lineRule="auto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val="es-MX" w:eastAsia="en-US"/>
    </w:rPr>
  </w:style>
  <w:style w:type="character" w:customStyle="1" w:styleId="Ttulo8Car">
    <w:name w:val="Título 8 Car"/>
    <w:basedOn w:val="Fuentedeprrafopredeter"/>
    <w:link w:val="Ttulo8"/>
    <w:rsid w:val="00D6126D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6126D"/>
  </w:style>
  <w:style w:type="paragraph" w:styleId="Textonotapie">
    <w:name w:val="footnote text"/>
    <w:basedOn w:val="Normal"/>
    <w:link w:val="TextonotapieCar"/>
    <w:uiPriority w:val="99"/>
    <w:semiHidden/>
    <w:unhideWhenUsed/>
    <w:rsid w:val="00D6126D"/>
    <w:pPr>
      <w:jc w:val="both"/>
    </w:pPr>
    <w:rPr>
      <w:rFonts w:ascii="Calibri" w:eastAsia="Calibri" w:hAnsi="Calibr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126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126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D612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D612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10">
    <w:name w:val="Título1"/>
    <w:basedOn w:val="Normal"/>
    <w:next w:val="Normal"/>
    <w:qFormat/>
    <w:rsid w:val="00D6126D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D6126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tulo1">
    <w:name w:val="Subtítulo1"/>
    <w:basedOn w:val="Normal"/>
    <w:next w:val="Normal"/>
    <w:uiPriority w:val="11"/>
    <w:qFormat/>
    <w:rsid w:val="00D6126D"/>
    <w:pPr>
      <w:numPr>
        <w:ilvl w:val="1"/>
      </w:numPr>
      <w:spacing w:after="200" w:line="264" w:lineRule="auto"/>
      <w:jc w:val="both"/>
    </w:pPr>
    <w:rPr>
      <w:rFonts w:ascii="Cambria" w:hAnsi="Cambria"/>
      <w:i/>
      <w:iCs/>
      <w:color w:val="4F81BD"/>
      <w:spacing w:val="15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D6126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D61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126D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612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612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126D"/>
    <w:pPr>
      <w:spacing w:after="200"/>
      <w:jc w:val="both"/>
    </w:pPr>
    <w:rPr>
      <w:rFonts w:ascii="Calibri" w:eastAsia="Calibri" w:hAnsi="Calibr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126D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12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126D"/>
    <w:rPr>
      <w:rFonts w:ascii="Calibri" w:eastAsia="Calibri" w:hAnsi="Calibri" w:cs="Times New Roman"/>
      <w:b/>
      <w:bCs/>
      <w:sz w:val="20"/>
      <w:szCs w:val="20"/>
    </w:rPr>
  </w:style>
  <w:style w:type="table" w:customStyle="1" w:styleId="Sombreadoclaro-nfasis110">
    <w:name w:val="Sombreado claro - Énfasis 11"/>
    <w:basedOn w:val="Tablanormal"/>
    <w:next w:val="Sombreadoclaro-nfasis11"/>
    <w:uiPriority w:val="60"/>
    <w:rsid w:val="00D6126D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exto">
    <w:name w:val="Texto"/>
    <w:basedOn w:val="Normal"/>
    <w:rsid w:val="00D6126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tulo2Car1">
    <w:name w:val="Título 2 Car1"/>
    <w:basedOn w:val="Fuentedeprrafopredeter"/>
    <w:uiPriority w:val="9"/>
    <w:semiHidden/>
    <w:rsid w:val="00D61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1Car1">
    <w:name w:val="Título 1 Car1"/>
    <w:basedOn w:val="Fuentedeprrafopredeter"/>
    <w:uiPriority w:val="9"/>
    <w:rsid w:val="00D6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D6126D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MX" w:eastAsia="en-US"/>
    </w:rPr>
  </w:style>
  <w:style w:type="character" w:customStyle="1" w:styleId="TtuloCar1">
    <w:name w:val="Título Car1"/>
    <w:basedOn w:val="Fuentedeprrafopredeter"/>
    <w:uiPriority w:val="10"/>
    <w:rsid w:val="00D61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6126D"/>
    <w:pPr>
      <w:numPr>
        <w:ilvl w:val="1"/>
      </w:numPr>
    </w:pPr>
    <w:rPr>
      <w:rFonts w:ascii="Cambria" w:hAnsi="Cambria"/>
      <w:i/>
      <w:iCs/>
      <w:color w:val="4F81BD"/>
      <w:spacing w:val="15"/>
      <w:lang w:val="es-MX" w:eastAsia="en-US"/>
    </w:rPr>
  </w:style>
  <w:style w:type="character" w:customStyle="1" w:styleId="SubttuloCar1">
    <w:name w:val="Subtítulo Car1"/>
    <w:basedOn w:val="Fuentedeprrafopredeter"/>
    <w:uiPriority w:val="11"/>
    <w:rsid w:val="00D61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Ttulo4Car1">
    <w:name w:val="Título 4 Car1"/>
    <w:basedOn w:val="Fuentedeprrafopredeter"/>
    <w:uiPriority w:val="9"/>
    <w:semiHidden/>
    <w:rsid w:val="00D612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17358B"/>
    <w:pPr>
      <w:spacing w:line="321" w:lineRule="atLeast"/>
    </w:pPr>
    <w:rPr>
      <w:rFonts w:ascii="City Medium" w:hAnsi="City Medium" w:cstheme="minorBidi"/>
      <w:color w:val="auto"/>
      <w:lang w:val="es-MX"/>
    </w:rPr>
  </w:style>
  <w:style w:type="character" w:styleId="Hipervnculo">
    <w:name w:val="Hyperlink"/>
    <w:basedOn w:val="Fuentedeprrafopredeter"/>
    <w:uiPriority w:val="99"/>
    <w:unhideWhenUsed/>
    <w:rsid w:val="00534C44"/>
    <w:rPr>
      <w:color w:val="0000FF" w:themeColor="hyperlink"/>
      <w:u w:val="single"/>
    </w:rPr>
  </w:style>
  <w:style w:type="character" w:customStyle="1" w:styleId="st">
    <w:name w:val="st"/>
    <w:basedOn w:val="Fuentedeprrafopredeter"/>
    <w:rsid w:val="005B1286"/>
  </w:style>
  <w:style w:type="character" w:styleId="Textoennegrita">
    <w:name w:val="Strong"/>
    <w:basedOn w:val="Fuentedeprrafopredeter"/>
    <w:uiPriority w:val="22"/>
    <w:qFormat/>
    <w:rsid w:val="007336C4"/>
    <w:rPr>
      <w:b/>
      <w:bCs/>
    </w:rPr>
  </w:style>
  <w:style w:type="table" w:styleId="Listaclara-nfasis4">
    <w:name w:val="Light List Accent 4"/>
    <w:basedOn w:val="Tablanormal"/>
    <w:uiPriority w:val="61"/>
    <w:rsid w:val="0095194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0278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02780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textocanafem">
    <w:name w:val="textocanafem"/>
    <w:basedOn w:val="Normal"/>
    <w:rsid w:val="00CF18C7"/>
    <w:pPr>
      <w:spacing w:before="100" w:beforeAutospacing="1" w:after="100" w:afterAutospacing="1"/>
      <w:jc w:val="both"/>
    </w:pPr>
    <w:rPr>
      <w:rFonts w:ascii="Myriad Pro" w:hAnsi="Myriad Pro"/>
      <w:color w:val="FFFFFF"/>
      <w:sz w:val="18"/>
      <w:szCs w:val="18"/>
      <w:lang w:val="es-MX" w:eastAsia="es-MX"/>
    </w:rPr>
  </w:style>
  <w:style w:type="paragraph" w:customStyle="1" w:styleId="textocanafem1">
    <w:name w:val="textocanafem1"/>
    <w:basedOn w:val="Normal"/>
    <w:rsid w:val="00CF18C7"/>
    <w:pPr>
      <w:spacing w:before="100" w:beforeAutospacing="1" w:after="100" w:afterAutospacing="1"/>
      <w:jc w:val="both"/>
    </w:pPr>
    <w:rPr>
      <w:rFonts w:ascii="Myriad Pro" w:hAnsi="Myriad Pro"/>
      <w:color w:val="FFFFFF"/>
      <w:sz w:val="18"/>
      <w:szCs w:val="18"/>
      <w:lang w:val="es-MX" w:eastAsia="es-MX"/>
    </w:rPr>
  </w:style>
  <w:style w:type="character" w:customStyle="1" w:styleId="atn">
    <w:name w:val="atn"/>
    <w:basedOn w:val="Fuentedeprrafopredeter"/>
    <w:rsid w:val="00D44A86"/>
  </w:style>
  <w:style w:type="paragraph" w:styleId="Revisin">
    <w:name w:val="Revision"/>
    <w:hidden/>
    <w:uiPriority w:val="99"/>
    <w:semiHidden/>
    <w:rsid w:val="008B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0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0844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single" w:sz="2" w:space="6" w:color="DDDDDD"/>
                                                <w:left w:val="single" w:sz="2" w:space="6" w:color="DDDDDD"/>
                                                <w:bottom w:val="single" w:sz="2" w:space="6" w:color="DDDDDD"/>
                                                <w:right w:val="single" w:sz="2" w:space="6" w:color="DDDDDD"/>
                                              </w:divBdr>
                                            </w:div>
                                          </w:divsChild>
                                        </w:div>
                                        <w:div w:id="15690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1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1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66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28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46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4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276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9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84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085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64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8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34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828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03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37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2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5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7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9591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07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4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1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786124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single" w:sz="2" w:space="6" w:color="DDDDDD"/>
                                                <w:left w:val="single" w:sz="2" w:space="6" w:color="DDDDDD"/>
                                                <w:bottom w:val="single" w:sz="2" w:space="6" w:color="DDDDDD"/>
                                                <w:right w:val="single" w:sz="2" w:space="6" w:color="DDDDDD"/>
                                              </w:divBdr>
                                            </w:div>
                                          </w:divsChild>
                                        </w:div>
                                        <w:div w:id="184982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45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3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57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62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03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93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36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036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02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50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5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08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1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23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93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40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97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46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3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2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9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3357-FF6F-425C-AA04-4FD7F660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1309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Leonardo Castañeda López</dc:creator>
  <cp:keywords>Reunión IGV Goodyear;Industria Llantera</cp:keywords>
  <cp:lastModifiedBy>DGCE</cp:lastModifiedBy>
  <cp:revision>18</cp:revision>
  <cp:lastPrinted>2015-08-12T21:22:00Z</cp:lastPrinted>
  <dcterms:created xsi:type="dcterms:W3CDTF">2018-11-26T20:02:00Z</dcterms:created>
  <dcterms:modified xsi:type="dcterms:W3CDTF">2018-11-28T17:34:00Z</dcterms:modified>
</cp:coreProperties>
</file>